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F" w:rsidRPr="0030331D" w:rsidRDefault="007D2C2F" w:rsidP="007D2C2F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6923C" w:themeColor="accent3" w:themeShade="BF"/>
          <w:sz w:val="20"/>
          <w:szCs w:val="20"/>
          <w:lang w:eastAsia="ru-RU"/>
        </w:rPr>
        <w:drawing>
          <wp:inline distT="0" distB="0" distL="0" distR="0" wp14:anchorId="4675409A" wp14:editId="1B3C2F10">
            <wp:extent cx="819150" cy="1133475"/>
            <wp:effectExtent l="0" t="0" r="0" b="9525"/>
            <wp:docPr id="1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2F" w:rsidRPr="0030331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7D2C2F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области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6923C" w:themeColor="accent3" w:themeShade="BF"/>
          <w:sz w:val="16"/>
          <w:szCs w:val="16"/>
          <w:lang w:eastAsia="ru-RU"/>
        </w:rPr>
      </w:pPr>
    </w:p>
    <w:p w:rsidR="007D2C2F" w:rsidRPr="00E27A5B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>№ 3</w:t>
      </w:r>
      <w:r w:rsidR="001F4495"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1F4495"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>/12/201</w:t>
      </w:r>
      <w:r w:rsidR="001F4495"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2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ru-RU"/>
        </w:rPr>
      </w:pP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Михайловской городской Думы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Михайловка  Волгоградской области на 201</w:t>
      </w:r>
      <w:r w:rsidR="00FA472D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A4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второе чтение</w:t>
      </w:r>
    </w:p>
    <w:p w:rsidR="007D2C2F" w:rsidRPr="0030331D" w:rsidRDefault="007D2C2F" w:rsidP="007D2C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147D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Консультант КСК Петрова Ю.П.  провела экспертно-аналитическую оценку проекта Решения «О бюджете городского округа город Михайловка  Волгоградской области на 201</w:t>
      </w:r>
      <w:r w:rsid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7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7D2C2F" w:rsidRPr="00F81700" w:rsidRDefault="007D2C2F" w:rsidP="007D2C2F">
      <w:pPr>
        <w:pStyle w:val="ConsPlusNormal"/>
        <w:jc w:val="both"/>
        <w:outlineLvl w:val="0"/>
        <w:rPr>
          <w:b w:val="0"/>
        </w:rPr>
      </w:pPr>
      <w:r w:rsidRPr="007030D6">
        <w:rPr>
          <w:rFonts w:eastAsia="Times New Roman"/>
          <w:b w:val="0"/>
          <w:color w:val="1F497D" w:themeColor="text2"/>
          <w:lang w:eastAsia="ru-RU"/>
        </w:rPr>
        <w:t xml:space="preserve">       </w:t>
      </w:r>
      <w:proofErr w:type="gramStart"/>
      <w:r w:rsidRPr="00602710">
        <w:rPr>
          <w:rFonts w:eastAsia="Times New Roman"/>
          <w:b w:val="0"/>
          <w:lang w:eastAsia="ru-RU"/>
        </w:rPr>
        <w:t>Заключение контрольно-счетной комиссии городского округа город Михайловка Волгоградской области на проект решения Михайловской городской Думы  «О бюджете городского округа город Михайловка  Волгоградской области на 201</w:t>
      </w:r>
      <w:r w:rsidR="0045646C">
        <w:rPr>
          <w:rFonts w:eastAsia="Times New Roman"/>
          <w:b w:val="0"/>
          <w:lang w:eastAsia="ru-RU"/>
        </w:rPr>
        <w:t>9</w:t>
      </w:r>
      <w:r w:rsidRPr="00602710">
        <w:rPr>
          <w:rFonts w:eastAsia="Times New Roman"/>
          <w:b w:val="0"/>
          <w:lang w:eastAsia="ru-RU"/>
        </w:rPr>
        <w:t xml:space="preserve"> год и плановый период 20</w:t>
      </w:r>
      <w:r w:rsidR="0045646C">
        <w:rPr>
          <w:rFonts w:eastAsia="Times New Roman"/>
          <w:b w:val="0"/>
          <w:lang w:eastAsia="ru-RU"/>
        </w:rPr>
        <w:t>20</w:t>
      </w:r>
      <w:r w:rsidRPr="00602710">
        <w:rPr>
          <w:rFonts w:eastAsia="Times New Roman"/>
          <w:b w:val="0"/>
          <w:lang w:eastAsia="ru-RU"/>
        </w:rPr>
        <w:t xml:space="preserve"> и 20</w:t>
      </w:r>
      <w:r>
        <w:rPr>
          <w:rFonts w:eastAsia="Times New Roman"/>
          <w:b w:val="0"/>
          <w:lang w:eastAsia="ru-RU"/>
        </w:rPr>
        <w:t>2</w:t>
      </w:r>
      <w:r w:rsidR="0045646C">
        <w:rPr>
          <w:rFonts w:eastAsia="Times New Roman"/>
          <w:b w:val="0"/>
          <w:lang w:eastAsia="ru-RU"/>
        </w:rPr>
        <w:t>1</w:t>
      </w:r>
      <w:r w:rsidRPr="00602710">
        <w:rPr>
          <w:rFonts w:eastAsia="Times New Roman"/>
          <w:b w:val="0"/>
          <w:lang w:eastAsia="ru-RU"/>
        </w:rPr>
        <w:t xml:space="preserve"> годов» подготовлено в соответствии со ст. 157  Бюджетного кодекса </w:t>
      </w:r>
      <w:r w:rsidRPr="00050BCC">
        <w:rPr>
          <w:rFonts w:eastAsia="Times New Roman"/>
          <w:b w:val="0"/>
          <w:lang w:eastAsia="ru-RU"/>
        </w:rPr>
        <w:t xml:space="preserve">Российской Федерации (далее по тексту - Бюджетный кодекс, БК РФ), ч. 2 ст. 9 Федерального закона № 6-ФЗ </w:t>
      </w:r>
      <w:r w:rsidRPr="00050BCC">
        <w:rPr>
          <w:b w:val="0"/>
          <w:bCs w:val="0"/>
        </w:rPr>
        <w:t xml:space="preserve"> от 7 февраля</w:t>
      </w:r>
      <w:proofErr w:type="gramEnd"/>
      <w:r w:rsidRPr="00050BCC">
        <w:rPr>
          <w:b w:val="0"/>
          <w:bCs w:val="0"/>
        </w:rPr>
        <w:t xml:space="preserve"> </w:t>
      </w:r>
      <w:proofErr w:type="gramStart"/>
      <w:r w:rsidRPr="00050BCC">
        <w:rPr>
          <w:b w:val="0"/>
          <w:bCs w:val="0"/>
        </w:rPr>
        <w:t xml:space="preserve">2011 года N 6-ФЗ "Об общих принципах организации и деятельности контрольно-счетных органов субъектов Российской Федерации и муниципальных образований", ст. 8 </w:t>
      </w:r>
      <w:r w:rsidRPr="00050BCC">
        <w:rPr>
          <w:rFonts w:eastAsia="Times New Roman"/>
          <w:b w:val="0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 (далее – Положение о бюджетном процессе), ст. 8 Положения о контрольно-счетном органе городского округа город Михайловка – контрольно-счетной комиссии, утвержденного Решением Михайловской городской Думы</w:t>
      </w:r>
      <w:proofErr w:type="gramEnd"/>
      <w:r w:rsidRPr="00050BCC">
        <w:rPr>
          <w:rFonts w:eastAsia="Times New Roman"/>
          <w:b w:val="0"/>
          <w:lang w:eastAsia="ru-RU"/>
        </w:rPr>
        <w:t xml:space="preserve"> от 28.</w:t>
      </w:r>
      <w:r w:rsidRPr="00F81700">
        <w:rPr>
          <w:rFonts w:eastAsia="Times New Roman"/>
          <w:b w:val="0"/>
          <w:lang w:eastAsia="ru-RU"/>
        </w:rPr>
        <w:t xml:space="preserve">12.2009 № 482 и иными нормативными правовыми актами. </w:t>
      </w:r>
    </w:p>
    <w:p w:rsidR="007D2C2F" w:rsidRPr="00F81700" w:rsidRDefault="007D2C2F" w:rsidP="007D2C2F">
      <w:pPr>
        <w:pStyle w:val="ConsPlusNormal"/>
        <w:ind w:firstLine="540"/>
        <w:jc w:val="both"/>
        <w:rPr>
          <w:b w:val="0"/>
        </w:rPr>
      </w:pPr>
      <w:r w:rsidRPr="00F81700">
        <w:rPr>
          <w:rFonts w:eastAsia="Times New Roman"/>
          <w:b w:val="0"/>
          <w:lang w:eastAsia="ru-RU"/>
        </w:rPr>
        <w:t xml:space="preserve">В соответствии со ст. 40 Положения о бюджетном процессе в городском округе город Михайловка, </w:t>
      </w:r>
      <w:bookmarkStart w:id="0" w:name="_Toc340744293"/>
      <w:bookmarkStart w:id="1" w:name="_Toc277502342"/>
      <w:r w:rsidRPr="00F81700">
        <w:rPr>
          <w:b w:val="0"/>
        </w:rPr>
        <w:t>Михайловская городская Дума, при рассмотрении проекта решения Михайловской городской Думы о бюджете городского округа на очередной финансовый год и плановый период, во втором чтении утверждает: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текстовую часть проекта решения о бюджете, в том числе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решению о бюджете городского округа, устанавливающие: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городского округа;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городского округа в составе ведомственной структуры расходов бюджета;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</w:t>
      </w:r>
      <w:r w:rsidR="00EB68E7">
        <w:rPr>
          <w:rFonts w:ascii="Times New Roman" w:hAnsi="Times New Roman" w:cs="Times New Roman"/>
          <w:sz w:val="24"/>
          <w:szCs w:val="24"/>
        </w:rPr>
        <w:t>ственную структуру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строек и объектов строительства, реконструкции и технического перевооружения для муниципальных нужд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ведомственных целевых программ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на выполнение передаваемых государственных полномочий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расходов;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F81700" w:rsidRDefault="00F81700" w:rsidP="00F81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муниципальных гарантий городского округа на очередной финансовый год и плановый период, в которой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превышает 100 тысяч рублей.</w:t>
      </w:r>
    </w:p>
    <w:p w:rsidR="007D2C2F" w:rsidRPr="002126DD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бюджета внесен на рассмотрение Михайловской городской Думы в срок, установленный ч. 1 ст. 25 </w:t>
      </w:r>
      <w:r w:rsidRPr="00212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867.</w:t>
      </w:r>
    </w:p>
    <w:p w:rsidR="007D2C2F" w:rsidRPr="00FD5C82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169 БК РФ, а также ч. 2 ст. 17 Положения о бюджетном процессе в городском округе город Михайловка, утвержденного Решением Михайловской городской Думы от 31.03.2014 г. № 867, проект бюджета составлен на очередной финансовый 201</w:t>
      </w:r>
      <w:r w:rsidR="00FD5C82"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D5C82"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D5C82"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7D2C2F" w:rsidRPr="00AC24F7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2C2F" w:rsidRPr="00FD5C82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Общая характеристика расходной части  бюджета</w:t>
      </w:r>
      <w:bookmarkEnd w:id="0"/>
      <w:bookmarkEnd w:id="1"/>
    </w:p>
    <w:p w:rsidR="007D2C2F" w:rsidRPr="00FD5C82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4C" w:rsidRPr="00B802A5" w:rsidRDefault="00F6284C" w:rsidP="00F628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проекта бюджета на 2019 год и плановый период 2020-2021 гг. приведены в таблице:</w:t>
      </w:r>
    </w:p>
    <w:p w:rsidR="00F6284C" w:rsidRPr="00B802A5" w:rsidRDefault="00F6284C" w:rsidP="00F6284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802A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929"/>
        <w:gridCol w:w="1476"/>
        <w:gridCol w:w="1359"/>
        <w:gridCol w:w="1476"/>
        <w:gridCol w:w="1330"/>
      </w:tblGrid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2018 года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2019 года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2020 года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2021 года 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1498805,0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1532042,1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793425,0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799827,0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796926,0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824027,0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604859,4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730307,8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701879,0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708015,1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1498805,0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1532042,1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19923,2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41201,4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дефицита от общего годового объема бюджета города без утвержденного объема безвозмездных поступлений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5648,5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5664,0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5478,3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190857,9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208572,7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19627,6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19674,4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программ в общей сумме 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13,6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Ведомственные программы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916020,0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980717,9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1005960,1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1000396,8</w:t>
            </w:r>
          </w:p>
        </w:tc>
      </w:tr>
      <w:tr w:rsidR="00F6284C" w:rsidRPr="00B802A5" w:rsidTr="008F5311">
        <w:tc>
          <w:tcPr>
            <w:tcW w:w="2053" w:type="pct"/>
          </w:tcPr>
          <w:p w:rsidR="00F6284C" w:rsidRPr="00B802A5" w:rsidRDefault="00F6284C" w:rsidP="008F53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10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71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695" w:type="pct"/>
          </w:tcPr>
          <w:p w:rsidR="00F6284C" w:rsidRPr="00B802A5" w:rsidRDefault="00F6284C" w:rsidP="008F5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</w:tbl>
    <w:p w:rsidR="00F6284C" w:rsidRPr="00B802A5" w:rsidRDefault="00F6284C" w:rsidP="00F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342250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4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проектом бюджета предусмотрено увеличение доходов и расходов. Основной объем расходов на 201</w:t>
      </w:r>
      <w:r w:rsidR="00342250" w:rsidRPr="00342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 в рамках реализации муниципальных программ и ведомственных целевых программ. </w:t>
      </w:r>
    </w:p>
    <w:p w:rsidR="007D2C2F" w:rsidRPr="00342250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C2F" w:rsidRPr="00342250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51A4148D" wp14:editId="1EB54F06">
            <wp:extent cx="5410200" cy="5381625"/>
            <wp:effectExtent l="0" t="0" r="19050" b="952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2C2F" w:rsidRPr="00902DCF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902DCF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объемов ассигнований расходов по проекту бюджета на 201</w:t>
      </w:r>
      <w:r w:rsidR="00902DCF"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2DCF"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2DCF"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данными:</w:t>
      </w:r>
    </w:p>
    <w:p w:rsidR="00B2054F" w:rsidRDefault="007D2C2F" w:rsidP="007D2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p w:rsidR="00B2054F" w:rsidRPr="001455FA" w:rsidRDefault="00B2054F" w:rsidP="00B20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5"/>
        <w:gridCol w:w="1008"/>
        <w:gridCol w:w="800"/>
        <w:gridCol w:w="910"/>
        <w:gridCol w:w="650"/>
        <w:gridCol w:w="910"/>
        <w:gridCol w:w="650"/>
        <w:gridCol w:w="910"/>
        <w:gridCol w:w="651"/>
      </w:tblGrid>
      <w:tr w:rsidR="00B2054F" w:rsidRPr="001455FA" w:rsidTr="008F5311">
        <w:trPr>
          <w:trHeight w:val="271"/>
          <w:tblHeader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455F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5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455F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5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B2054F" w:rsidRPr="001109A1" w:rsidTr="008F5311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4F" w:rsidRPr="001109A1" w:rsidRDefault="00B2054F" w:rsidP="008F5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B2054F" w:rsidRPr="001109A1" w:rsidTr="008F5311">
        <w:trPr>
          <w:trHeight w:val="46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ОБЩЕГОСУДАРСТВЕННЫЕ ВОПРОСЫ                        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165233,2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192882,5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213277,2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231582,3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15,12</w:t>
            </w:r>
          </w:p>
        </w:tc>
      </w:tr>
      <w:tr w:rsidR="00B2054F" w:rsidRPr="001109A1" w:rsidTr="008F5311">
        <w:trPr>
          <w:trHeight w:val="797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13363,2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12502,8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0,40</w:t>
            </w:r>
          </w:p>
        </w:tc>
      </w:tr>
      <w:tr w:rsidR="00B2054F" w:rsidRPr="001109A1" w:rsidTr="008F5311">
        <w:trPr>
          <w:trHeight w:val="204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47867,0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78616,0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57078,0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3,81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78671,0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5,14</w:t>
            </w:r>
          </w:p>
        </w:tc>
      </w:tr>
      <w:tr w:rsidR="00B2054F" w:rsidRPr="001109A1" w:rsidTr="008F5311">
        <w:trPr>
          <w:trHeight w:val="418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105592,7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103748,5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6,78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81619,7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77447,2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5,06</w:t>
            </w:r>
          </w:p>
        </w:tc>
      </w:tr>
      <w:tr w:rsidR="00B2054F" w:rsidRPr="001109A1" w:rsidTr="008F5311">
        <w:trPr>
          <w:trHeight w:val="418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2228,8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2054F" w:rsidRPr="001109A1" w:rsidTr="008F5311">
        <w:trPr>
          <w:trHeight w:val="257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855158,2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896790,5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904928,7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60,38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905365,4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59,09</w:t>
            </w:r>
          </w:p>
        </w:tc>
      </w:tr>
      <w:tr w:rsidR="00B2054F" w:rsidRPr="001109A1" w:rsidTr="008F5311">
        <w:trPr>
          <w:trHeight w:val="216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97828,9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95265,0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6,23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88800,0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5,80</w:t>
            </w:r>
          </w:p>
        </w:tc>
      </w:tr>
      <w:tr w:rsidR="00B2054F" w:rsidRPr="001109A1" w:rsidTr="008F5311">
        <w:trPr>
          <w:trHeight w:val="24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57787,4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99070,4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101070,4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100070,4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0,66</w:t>
            </w:r>
          </w:p>
        </w:tc>
      </w:tr>
      <w:tr w:rsidR="00B2054F" w:rsidRPr="001109A1" w:rsidTr="008F5311">
        <w:trPr>
          <w:trHeight w:val="37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47199,0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42246,7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35060,5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2,29</w:t>
            </w:r>
          </w:p>
        </w:tc>
      </w:tr>
      <w:tr w:rsidR="00B2054F" w:rsidRPr="001109A1" w:rsidTr="008F5311">
        <w:trPr>
          <w:trHeight w:val="403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</w:tr>
      <w:tr w:rsidR="00B2054F" w:rsidRPr="001109A1" w:rsidTr="008F5311">
        <w:trPr>
          <w:trHeight w:val="403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3026,0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5478,3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0,36</w:t>
            </w:r>
          </w:p>
        </w:tc>
      </w:tr>
      <w:tr w:rsidR="00B2054F" w:rsidRPr="001109A1" w:rsidTr="008F5311">
        <w:trPr>
          <w:trHeight w:val="257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054F" w:rsidRPr="00AA789A" w:rsidRDefault="00B2054F" w:rsidP="008F53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54F" w:rsidRPr="00AA789A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78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1530134,8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1498805,0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1532042,1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54F" w:rsidRPr="001109A1" w:rsidRDefault="00B2054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B2054F" w:rsidRPr="008E4E6C" w:rsidRDefault="00B2054F" w:rsidP="00B2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B2054F" w:rsidRDefault="007D2C2F" w:rsidP="00B205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FF2EFFF" wp14:editId="75EDD024">
            <wp:extent cx="5972175" cy="320992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A0A" w:rsidRPr="00E34B0E" w:rsidRDefault="00AB4A0A" w:rsidP="00A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 и в предыдущие периоды, бюджет имеет социальную направленность. Доля расходов бюджета, приходящихся на обеспечение нужд образования, культуры,  </w:t>
      </w: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политики, физической культуры и спорта, средства массовой информации в очередном периоде планируется на уровне 74,3%.</w:t>
      </w:r>
    </w:p>
    <w:p w:rsidR="00AB4A0A" w:rsidRPr="008E4E6C" w:rsidRDefault="00AB4A0A" w:rsidP="00AB4A0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4A0A" w:rsidRPr="007A4ABA" w:rsidRDefault="00AB4A0A" w:rsidP="00AB4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4B745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07 декабря 2015 г. N 3447 "Об утверждении Положения о ведомственных целевых программах городского округа город Михайловка", Постановлением от 29 декабря 2016 г. N 3419 «Об утверждении положения о муниципальных программах городского округа город Михайловка», </w:t>
      </w:r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бюджета городского округа город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предусмотрено финансирование 36 программ, в том числе: 31 </w:t>
      </w:r>
      <w:proofErr w:type="gramStart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5 ведомственных программ.</w:t>
      </w:r>
    </w:p>
    <w:p w:rsidR="00AB4A0A" w:rsidRPr="001117E5" w:rsidRDefault="00AB4A0A" w:rsidP="00AB4A0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расходов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определено в размере 1189290,6   тыс. рублей 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 на 82412,7  тыс. руб. чем в проекте бюджета на 2018 год), в т. ч. на муниципальные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– 208572,7 тыс. руб., на ведомственные целевые программы – 980717,9 тыс. руб.</w:t>
      </w:r>
      <w:r w:rsidRPr="0011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4A0A" w:rsidRPr="00BD7058" w:rsidRDefault="00AB4A0A" w:rsidP="00AB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Объем ассигнований на муниципальные и ведомственные целевые программы предусмотрен в проекте решения в размере 77,7 % от общих расходов бюджета на 2019 год, в то время как удельный вес программных расходов в проекте  бюджета на  2018 года составлял 79,1%, на 2017 год – 75,6%. </w:t>
      </w:r>
    </w:p>
    <w:p w:rsidR="007D2C2F" w:rsidRPr="00AC24F7" w:rsidRDefault="007D2C2F" w:rsidP="007D2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F3FED" w:rsidRPr="002F3FED" w:rsidTr="008F5311">
        <w:tc>
          <w:tcPr>
            <w:tcW w:w="1250" w:type="pct"/>
          </w:tcPr>
          <w:p w:rsidR="007261E9" w:rsidRPr="002F3FED" w:rsidRDefault="007261E9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50" w:type="pct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50" w:type="pct"/>
          </w:tcPr>
          <w:p w:rsidR="007261E9" w:rsidRPr="002F3FED" w:rsidRDefault="007261E9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F3FED" w:rsidRPr="002F3FED" w:rsidTr="008F5311">
        <w:tc>
          <w:tcPr>
            <w:tcW w:w="1250" w:type="pct"/>
          </w:tcPr>
          <w:p w:rsidR="007261E9" w:rsidRPr="002F3FED" w:rsidRDefault="007261E9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0" w:type="pct"/>
          </w:tcPr>
          <w:p w:rsidR="007261E9" w:rsidRPr="002F3FED" w:rsidRDefault="002F3FED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F3FED" w:rsidRPr="002F3FED" w:rsidTr="0045646C">
        <w:tc>
          <w:tcPr>
            <w:tcW w:w="1250" w:type="pct"/>
          </w:tcPr>
          <w:p w:rsidR="007261E9" w:rsidRPr="002F3FED" w:rsidRDefault="007261E9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предусмотренный проектом бюджета, тыс. руб.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894053,0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1106877,90</w:t>
            </w:r>
          </w:p>
        </w:tc>
        <w:tc>
          <w:tcPr>
            <w:tcW w:w="1250" w:type="pct"/>
            <w:vAlign w:val="center"/>
          </w:tcPr>
          <w:p w:rsidR="007261E9" w:rsidRPr="002F3FED" w:rsidRDefault="002F3FED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1189290,6   </w:t>
            </w:r>
          </w:p>
        </w:tc>
      </w:tr>
      <w:tr w:rsidR="002F3FED" w:rsidRPr="002F3FED" w:rsidTr="0045646C">
        <w:tc>
          <w:tcPr>
            <w:tcW w:w="1250" w:type="pct"/>
          </w:tcPr>
          <w:p w:rsidR="007261E9" w:rsidRPr="002F3FED" w:rsidRDefault="007261E9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расходов, предусмотренный проектом решения, тыс. рублей.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1250" w:type="pct"/>
            <w:vAlign w:val="center"/>
          </w:tcPr>
          <w:p w:rsidR="007261E9" w:rsidRPr="002F3FED" w:rsidRDefault="002F3FED" w:rsidP="004564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1530134,8</w:t>
            </w:r>
          </w:p>
        </w:tc>
      </w:tr>
      <w:tr w:rsidR="002F3FED" w:rsidRPr="002F3FED" w:rsidTr="0045646C">
        <w:tc>
          <w:tcPr>
            <w:tcW w:w="1250" w:type="pct"/>
          </w:tcPr>
          <w:p w:rsidR="007261E9" w:rsidRPr="002F3FED" w:rsidRDefault="007261E9" w:rsidP="004564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программ в общих расходах, тыс. рублей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50" w:type="pct"/>
            <w:vAlign w:val="center"/>
          </w:tcPr>
          <w:p w:rsidR="007261E9" w:rsidRPr="002F3FED" w:rsidRDefault="007261E9" w:rsidP="008F53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50" w:type="pct"/>
            <w:vAlign w:val="center"/>
          </w:tcPr>
          <w:p w:rsidR="007261E9" w:rsidRPr="002F3FED" w:rsidRDefault="002F3FED" w:rsidP="0045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</w:tbl>
    <w:p w:rsidR="007D2C2F" w:rsidRPr="002F3FED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C2F" w:rsidRPr="000917A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приведенной таблицы видно, что количество государственных и ведомственных программ в 201</w:t>
      </w:r>
      <w:r w:rsidR="000917A7"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также объем ассигнований на их исполнение увеличиваются. </w:t>
      </w:r>
    </w:p>
    <w:p w:rsidR="00FA060D" w:rsidRPr="007A4ABA" w:rsidRDefault="00FA060D" w:rsidP="00FA0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4B745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07 декабря 2015 г. N 3447 "Об утверждении Положения о ведомственных целевых программах городского округа город Михайловка", Постановлением от 29 декабря 2016 г. N 3419 «Об утверждении положения о муниципальных программах городского округа город Михайловка», </w:t>
      </w:r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бюджета городского округа город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предусмотрено финансирование 36 программ, в том числе: 31 </w:t>
      </w:r>
      <w:proofErr w:type="gramStart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5 ведомственных программ.</w:t>
      </w:r>
    </w:p>
    <w:p w:rsidR="00FA060D" w:rsidRPr="001117E5" w:rsidRDefault="00FA060D" w:rsidP="00FA06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расходов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определено в размере 1189290,6   тыс. рублей 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 на 82412,7  тыс. руб. чем в проекте бюджета на 2018 год), в т. ч. на муниципальные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– 208572,7 тыс. руб., на ведомственные целевые программы – 980717,9 тыс. руб.</w:t>
      </w:r>
      <w:r w:rsidRPr="0011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5813" w:rsidRPr="00865813" w:rsidRDefault="00FA060D" w:rsidP="00865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ассигнований на муниципальные и ведомственные целевые программы предусмотрен в проекте решения в размере 77,7 % от общих расходов бюджета на 2019 год, в то время как удельный вес программных расходов в проекте  бюджета на  2018 года составлял 79,1%, на 2017 год – 75,6%. </w:t>
      </w:r>
      <w:r w:rsidR="00865813" w:rsidRPr="00865813">
        <w:rPr>
          <w:rFonts w:ascii="Times New Roman" w:eastAsia="Times New Roman" w:hAnsi="Times New Roman" w:cs="Times New Roman"/>
          <w:sz w:val="24"/>
          <w:szCs w:val="24"/>
          <w:lang w:eastAsia="ar-SA"/>
        </w:rPr>
        <w:t>ей, что на 30,6% (-5 045 772,0 тыс. руб.) меньше текущего значения.</w:t>
      </w:r>
      <w:proofErr w:type="gramEnd"/>
    </w:p>
    <w:p w:rsidR="00CA0A19" w:rsidRDefault="0044473D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</w:t>
      </w:r>
      <w:r w:rsidR="00865813" w:rsidRPr="00AC324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Экспертиза представленных паспортов муниципальных</w:t>
      </w:r>
      <w:r w:rsidR="00C461B7" w:rsidRPr="00AC3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5813" w:rsidRPr="00AC32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 и проекта бюджета на 2019 год п</w:t>
      </w:r>
      <w:r w:rsidR="00895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оказала, что </w:t>
      </w:r>
      <w:r w:rsidR="003305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потребность в финансировании</w:t>
      </w:r>
      <w:r w:rsidR="00337F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65813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 году, </w:t>
      </w:r>
      <w:r w:rsidR="003435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</w:t>
      </w:r>
      <w:r w:rsidR="00865813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3435AF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865813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974951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6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 на </w:t>
      </w:r>
      <w:r w:rsidR="003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05C1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6AC9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107286,7</w:t>
      </w:r>
      <w:r w:rsidR="00865813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806AC9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67,4</w:t>
      </w:r>
      <w:r w:rsidR="0077605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CA0A19"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6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планируемого </w:t>
      </w:r>
      <w:r w:rsidR="00453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проектом решения </w:t>
      </w:r>
      <w:r w:rsidR="00776051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</w:t>
      </w:r>
      <w:r w:rsidR="0077605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6051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605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средств.</w:t>
      </w:r>
    </w:p>
    <w:p w:rsidR="00865813" w:rsidRPr="00806AC9" w:rsidRDefault="00CA0A19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финансирования</w:t>
      </w:r>
      <w:r w:rsidR="00A6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2019 году,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муниципальной программе </w:t>
      </w:r>
      <w:r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"Повышение безопасности дорожного движения на территории городского округа город Михайловка Волгоградской области на 2017-2019 годы"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42,6%, по муниципальной программе </w:t>
      </w:r>
      <w:r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на 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94,6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E458E"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муниципальной программе </w:t>
      </w:r>
      <w:r w:rsidR="006F107F"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"Развитие и модернизация объектов коммунальной инфраструктуры городского</w:t>
      </w:r>
      <w:proofErr w:type="gramEnd"/>
      <w:r w:rsidR="006F107F"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 город Михайловка Волгоградской области на 2017-2019 годы"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7F"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превышает потребность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39,6%, </w:t>
      </w:r>
      <w:r w:rsidR="00DE458E"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муниципальной программе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7F"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"Организация питания, отдыха и </w:t>
      </w:r>
      <w:proofErr w:type="gramStart"/>
      <w:r w:rsidR="006F107F"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 w:rsidR="006F107F"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городского округа город Михайловка Волгоградской области" на 2017-2019 годы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7F"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</w:t>
      </w:r>
      <w:r w:rsid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19,4%. </w:t>
      </w:r>
    </w:p>
    <w:p w:rsidR="00C461B7" w:rsidRPr="00806AC9" w:rsidRDefault="00806AC9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C461B7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179 БК РФ м</w:t>
      </w:r>
      <w:r w:rsidR="00AC3240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униципальные программы подлежат </w:t>
      </w:r>
      <w:r w:rsidR="00C461B7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приведению в соответствие с решением о бюджете</w:t>
      </w:r>
      <w:r w:rsidR="00AC3240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трех месяцев со дня </w:t>
      </w:r>
      <w:r w:rsidR="00C461B7"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вступления его в силу.</w:t>
      </w:r>
    </w:p>
    <w:p w:rsidR="007D2C2F" w:rsidRPr="00AC3240" w:rsidRDefault="007D2C2F" w:rsidP="00C4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44"/>
        <w:gridCol w:w="1730"/>
        <w:gridCol w:w="1062"/>
        <w:gridCol w:w="1486"/>
        <w:gridCol w:w="1485"/>
      </w:tblGrid>
      <w:tr w:rsidR="007662D8" w:rsidRPr="007662D8" w:rsidTr="0045646C">
        <w:trPr>
          <w:trHeight w:val="33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2F" w:rsidRPr="007662D8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8F5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проектом решения о бюджете на 201</w:t>
            </w:r>
            <w:r w:rsidR="008F5311"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 ч. на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в общем объеме финансирования программ, 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программных мероприятий в общем объеме финансирования раздела,%</w:t>
            </w:r>
          </w:p>
        </w:tc>
      </w:tr>
      <w:tr w:rsidR="007662D8" w:rsidRPr="007662D8" w:rsidTr="0045646C">
        <w:trPr>
          <w:trHeight w:val="46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192882,5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7D6FE9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10020,0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660CCA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767F2A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5,19</w:t>
            </w:r>
          </w:p>
        </w:tc>
      </w:tr>
      <w:tr w:rsidR="007662D8" w:rsidRPr="007662D8" w:rsidTr="0045646C">
        <w:trPr>
          <w:trHeight w:val="79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12502,8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7D6FE9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6345,2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660CCA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767F2A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50,75</w:t>
            </w:r>
          </w:p>
        </w:tc>
      </w:tr>
      <w:tr w:rsidR="007662D8" w:rsidRPr="007662D8" w:rsidTr="0045646C">
        <w:trPr>
          <w:trHeight w:val="20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78616,0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F41FDC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75482,0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660CCA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6,35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A477A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96,01</w:t>
            </w:r>
          </w:p>
        </w:tc>
      </w:tr>
      <w:tr w:rsidR="007662D8" w:rsidRPr="007662D8" w:rsidTr="0045646C">
        <w:trPr>
          <w:trHeight w:val="41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103748,5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F41FDC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60957,4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58,75</w:t>
            </w:r>
          </w:p>
        </w:tc>
      </w:tr>
      <w:tr w:rsidR="007662D8" w:rsidRPr="007662D8" w:rsidTr="0045646C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896790,5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726129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896640,5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75,39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99,98</w:t>
            </w:r>
          </w:p>
        </w:tc>
      </w:tr>
      <w:tr w:rsidR="007662D8" w:rsidRPr="007662D8" w:rsidTr="0045646C">
        <w:trPr>
          <w:trHeight w:val="21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95265,0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726129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95265,0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662D8" w:rsidRPr="007662D8" w:rsidTr="0045646C">
        <w:trPr>
          <w:trHeight w:val="2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99070,4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DE6AE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2333,8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2,35</w:t>
            </w:r>
          </w:p>
        </w:tc>
      </w:tr>
      <w:tr w:rsidR="007662D8" w:rsidRPr="007662D8" w:rsidTr="0045646C">
        <w:trPr>
          <w:trHeight w:val="37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42246,7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FA7C3D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42246,7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662D8" w:rsidRPr="007662D8" w:rsidTr="0045646C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3363,9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C0C9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662D8" w:rsidRPr="007662D8" w:rsidTr="0045646C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5648,5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CC0C9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2F" w:rsidRPr="007662D8" w:rsidRDefault="004C4F1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662D8" w:rsidRPr="007662D8" w:rsidTr="0045646C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C2F" w:rsidRPr="007662D8" w:rsidRDefault="007D2C2F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74242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1530134,8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CC0C9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1189290,6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D95308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F" w:rsidRPr="007662D8" w:rsidRDefault="00A8216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2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77,72</w:t>
            </w:r>
          </w:p>
        </w:tc>
      </w:tr>
    </w:tbl>
    <w:p w:rsidR="007D2C2F" w:rsidRPr="007662D8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D5F2E" w:rsidRDefault="007D2C2F" w:rsidP="007D2C2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2E"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предусмотренного на 2019</w:t>
      </w: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финансирования муниципальных и ведомственных целевых программ по разделам функциональной классификации показал, что наибольший удельный вес в общем объеме финансирования программ приходится на разделы «Образование» (7</w:t>
      </w:r>
      <w:r w:rsidR="002D5F2E"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>5,39</w:t>
      </w: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  <w:r w:rsidR="002D5F2E"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«Культура, кинематография» (8,01</w:t>
      </w:r>
      <w:r w:rsidRPr="002D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D37FE5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бюджета городского округа на 201</w:t>
      </w:r>
      <w:r w:rsidR="00D37FE5"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классификации расходов бюджета прогнозируется в следующих объемах:</w:t>
      </w:r>
    </w:p>
    <w:p w:rsidR="007D2C2F" w:rsidRPr="00D37FE5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D37FE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«Общегосударственные вопросы»</w:t>
      </w:r>
    </w:p>
    <w:p w:rsidR="007D2C2F" w:rsidRPr="00D37FE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D2C2F" w:rsidRPr="00D37FE5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проекте решения, расходы городского бюджета, по разделу «Общегосударственные вопросы», в 201</w:t>
      </w:r>
      <w:r w:rsidR="00D37FE5"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 планируются в сумме </w:t>
      </w:r>
      <w:r w:rsidR="00D37FE5"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192882,5 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(рост  по сравнению с предыдущим годом на </w:t>
      </w:r>
      <w:r w:rsidR="00D37FE5"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>27805,2</w:t>
      </w:r>
      <w:r w:rsidRPr="00D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5AD306C7" wp14:editId="6CB7DAE1">
            <wp:extent cx="5495925" cy="320992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560A9" w:rsidRDefault="007D2C2F" w:rsidP="007D2C2F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 бюджета</w:t>
      </w:r>
      <w:r w:rsidR="008D73EF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8D73EF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D73EF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1F8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A560A9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12,61</w:t>
      </w:r>
      <w:r w:rsidR="00C911F8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2020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A560A9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4,23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C911F8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A560A9"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>5,12</w:t>
      </w:r>
      <w:r w:rsidRPr="00A5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D2C2F" w:rsidRPr="00783FB3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Наибольшую долю в разделе занимают расходы по подразделу 0113 "Другие</w:t>
      </w:r>
      <w:r w:rsidR="00783FB3" w:rsidRPr="0078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общегосударственные вопросы"- 69,3</w:t>
      </w:r>
      <w:r w:rsidRPr="00783FB3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7D2C2F" w:rsidRPr="00783FB3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783FB3" w:rsidRDefault="007D2C2F" w:rsidP="007D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бюджета по разделу «Общегосударственные вопросы»</w:t>
      </w:r>
    </w:p>
    <w:p w:rsidR="007D2C2F" w:rsidRPr="00AC24F7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6B7F7A02" wp14:editId="147898CA">
            <wp:extent cx="5724525" cy="5848350"/>
            <wp:effectExtent l="0" t="0" r="9525" b="190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C2F" w:rsidRPr="00AC24F7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236CEC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год.</w:t>
      </w:r>
      <w:proofErr w:type="gramEnd"/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36CEC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D6723E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подразделу </w:t>
      </w:r>
      <w:r w:rsidRPr="00236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"Функционирование высшего должностного лица субъекта Российской Федерации и муниципального образования"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Главы городского округа город Михайловка в сумме   17</w:t>
      </w:r>
      <w:r w:rsidR="00236CEC"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CEC"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(-26,8) </w:t>
      </w:r>
      <w:r w:rsidRPr="00236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67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F" w:rsidRPr="00BD2F5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</w:t>
      </w:r>
      <w:r w:rsidRPr="00BD2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бюджетные ассигнования на содержание Михайловской городской  Думы в сумме по 17</w:t>
      </w:r>
      <w:r w:rsidR="00BD2F5B"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72,5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(-6,5) 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D2F5B"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C2F" w:rsidRPr="000E3E82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 подразделу </w:t>
      </w:r>
      <w:r w:rsidRPr="000E3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 аппарата администрации в сумме </w:t>
      </w:r>
      <w:r w:rsidR="000E3E82"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46005,0 </w:t>
      </w:r>
      <w:r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201</w:t>
      </w:r>
      <w:r w:rsidR="000E3E82"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(в 201</w:t>
      </w:r>
      <w:r w:rsidR="000E3E82"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планировались расходы в  сумме  </w:t>
      </w:r>
      <w:r w:rsidR="000E3E82" w:rsidRPr="000E3E82">
        <w:rPr>
          <w:rFonts w:ascii="Times New Roman" w:eastAsia="Times New Roman" w:hAnsi="Times New Roman" w:cs="Times New Roman"/>
          <w:sz w:val="24"/>
          <w:szCs w:val="24"/>
          <w:lang w:eastAsia="ru-RU"/>
        </w:rPr>
        <w:t>55631,1 тыс. рублей тыс. рублей).</w:t>
      </w:r>
    </w:p>
    <w:p w:rsidR="007D2C2F" w:rsidRPr="00A65E04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Pr="00A65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0106 "Обеспечение деятельности финансовых, налоговых и таможенных органов и органов финансового (финансово-бюджетного) надзора" 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сумме 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9221,1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том числе:</w:t>
      </w:r>
    </w:p>
    <w:p w:rsidR="007D2C2F" w:rsidRPr="00A65E04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7514,3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(-1131,7) 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D2C2F" w:rsidRPr="00A65E04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контрольно-счетной комиссии городского округа 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5E04"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>06,8</w:t>
      </w:r>
      <w:r w:rsidR="0026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(-58,2)</w:t>
      </w:r>
      <w:r w:rsidRPr="00A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370B57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370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«Резервный фонд»</w:t>
      </w:r>
      <w:r w:rsidRPr="003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запланирован в сумме по 500,0 тыс. рублей на каждый финансовый год</w:t>
      </w:r>
      <w:r w:rsidR="00370B57" w:rsidRPr="003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не превышает ограничения, установленные </w:t>
      </w:r>
      <w:r w:rsidRPr="0037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81 БК РФ.</w:t>
      </w:r>
    </w:p>
    <w:p w:rsidR="007D2C2F" w:rsidRPr="003D0D76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3D0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«Другие общегосударственные вопросы»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</w:t>
      </w:r>
      <w:r w:rsidR="00C4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увеличены, по сравнению с 2018 годом, на 38485,6 тыс. руб., и составили  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133670,7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154722,2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 1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73027,3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7C1DE3"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proofErr w:type="gramStart"/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ч.: </w:t>
      </w:r>
    </w:p>
    <w:p w:rsidR="007D2C2F" w:rsidRPr="00F65E51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отделов сельских территорий в сумме </w:t>
      </w:r>
      <w:r w:rsidR="00C83990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15444,8 (+449,8)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F65E51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государственных полномочий по регистрации актов гражданского состояния за счет средств субвенции из федерального бюджета в сумме</w:t>
      </w:r>
      <w:proofErr w:type="gramEnd"/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4580,2 (+1138,3) 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D2C2F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казенного учреждения по обеспечению хозяйственного обслуживания «Технический центр» в сумме</w:t>
      </w:r>
      <w:r w:rsidR="00F65E51"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63000,0 (-357,0) </w:t>
      </w:r>
      <w:r w:rsidRPr="00F6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субсидии муниципальному автономному учреждению «Центр градостроительства и землеустройства» на финансовое обеспечение выполнения муниципального задания в рамках муниципальной программы по обновлению градостроительной документации о градостроительном планировании территорий городского округа</w:t>
      </w:r>
      <w:r w:rsidRPr="00F65E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 10000,0 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развитию муниципальной службы в сумме 20,0 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оценку недвижимости в сумме 800,0 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муниципального казенного учреждения «Центр информационно-коммуникационных технологий" в сумме 3490,3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муниципального казенного учреждения МКУ «Центр финансово-бухгалтерского обслуживания» в сумме 24500,0 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муниципального казенного учреждения МКУ «Центр муниципальных закупок» в сумме 6349,1 </w:t>
      </w:r>
      <w:r w:rsidR="00D6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65E51" w:rsidRPr="00F65E51" w:rsidRDefault="00F65E51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других обязательств органов местного самоуправления городского округа 3350,8 </w:t>
      </w:r>
      <w:r w:rsidR="00D7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(+2095,8) </w:t>
      </w:r>
      <w:r w:rsidRPr="00F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(оплата по исполнительным листам, оплата коммунальных услуг и содержание зданий и помещений, числящихся в казне городского округа, цветы, ценные подарки и выплаты к награждениям Почетными грамотами главы городского округа);</w:t>
      </w:r>
    </w:p>
    <w:p w:rsidR="0048343E" w:rsidRPr="00F65E51" w:rsidRDefault="0048343E" w:rsidP="00F6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3E">
        <w:rPr>
          <w:rFonts w:ascii="Times New Roman" w:hAnsi="Times New Roman" w:cs="Times New Roman"/>
          <w:szCs w:val="28"/>
        </w:rPr>
        <w:t xml:space="preserve">на выполнение передаваемых государственных полномочий по </w:t>
      </w:r>
      <w:r w:rsidRPr="0048343E">
        <w:rPr>
          <w:rFonts w:ascii="Times New Roman" w:hAnsi="Times New Roman" w:cs="Times New Roman"/>
          <w:color w:val="000000"/>
          <w:szCs w:val="28"/>
        </w:rPr>
        <w:t>обеспечению деятельности комиссии по делам несовершеннолетних 888,7 тыс. рублей,  административной комиссии 666,1 тыс. рублей, хранение, комплектование и учет архивного фонда Волгоградской области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8F7BD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580,7 тыс. рублей (-1094,6</w:t>
      </w:r>
      <w:r w:rsidRPr="0048343E">
        <w:rPr>
          <w:rFonts w:ascii="Times New Roman" w:hAnsi="Times New Roman" w:cs="Times New Roman"/>
          <w:color w:val="000000"/>
          <w:szCs w:val="28"/>
        </w:rPr>
        <w:t>).</w:t>
      </w:r>
    </w:p>
    <w:p w:rsidR="008F7BDE" w:rsidRPr="00B55DC7" w:rsidRDefault="008F7BDE" w:rsidP="008F7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184.1 Бюджетного кодекса РФ определено, что </w:t>
      </w:r>
      <w:r w:rsidRPr="00B55DC7">
        <w:rPr>
          <w:rFonts w:ascii="Times New Roman" w:eastAsia="Calibri" w:hAnsi="Times New Roman" w:cs="Times New Roman"/>
          <w:sz w:val="24"/>
          <w:szCs w:val="24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r w:rsidRPr="00B55DC7">
        <w:rPr>
          <w:rFonts w:ascii="Times New Roman" w:eastAsia="Calibri" w:hAnsi="Times New Roman" w:cs="Times New Roman"/>
          <w:sz w:val="24"/>
          <w:szCs w:val="24"/>
        </w:rPr>
        <w:lastRenderedPageBreak/>
        <w:t>системы Российской Федерации, имеющих целевое назначение</w:t>
      </w:r>
      <w:proofErr w:type="gramEnd"/>
      <w:r w:rsidRPr="00B55DC7">
        <w:rPr>
          <w:rFonts w:ascii="Times New Roman" w:eastAsia="Calibri" w:hAnsi="Times New Roman" w:cs="Times New Roman"/>
          <w:sz w:val="24"/>
          <w:szCs w:val="24"/>
        </w:rPr>
        <w:t>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8F7BDE" w:rsidRPr="003C399D" w:rsidRDefault="008F7BDE" w:rsidP="008F7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утвержденные расходы  бюджета в проекте бюджета предусматриваются на 2020 год в сумме 19923,2 тыс. рублей, или 2,5 % общей суммы расходов, без учета межбюджетных трансфертов, имеющих целевое назначение, на 2021 год – 41201,4 тыс. рублей, или 5,0 %.   </w:t>
      </w: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1C1B69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C1B6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7D2C2F" w:rsidRPr="001C1B69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1C1B69" w:rsidRDefault="001C1B69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7D2C2F"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разделу «Национальная безопасность и п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равоохранительная деятельность», в целом,  по сравнению с 2018 годом, планируется снижение расходов  на 1160,4 </w:t>
      </w:r>
      <w:r w:rsidR="007D2C2F"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 2019 году составит  12502,8 тыс. рублей. </w:t>
      </w:r>
    </w:p>
    <w:p w:rsidR="007D2C2F" w:rsidRPr="001C1B69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.</w:t>
      </w:r>
    </w:p>
    <w:p w:rsidR="007D2C2F" w:rsidRPr="00AC24F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6DCF019E" wp14:editId="397DF89E">
            <wp:extent cx="5495925" cy="3209925"/>
            <wp:effectExtent l="0" t="0" r="9525" b="95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E338EB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1C1B69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2019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6127,8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рамках программы  «Обеспечение безопасности жизнедеятельности населения городского округа город Михайловка Волгоградской области на 2017-2019 годы».</w:t>
      </w:r>
    </w:p>
    <w:p w:rsidR="007D2C2F" w:rsidRPr="00E338EB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</w:t>
      </w:r>
      <w:r w:rsidRPr="00E33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подразделу 0314 «Другие вопросы в области национальной безопасности и правоохранительной деятельности»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предусмотрены расходы в сумме 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6375,0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рублей:</w:t>
      </w:r>
    </w:p>
    <w:p w:rsidR="007D2C2F" w:rsidRPr="00E338EB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реализацию мероприятий муниципальной программы «Обеспечение безопасности жизнедеятельности населения городского округа город Михайловка Волгоградской области на 2017-2019 годы» предусмотрены расходы  в сумме  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217,4</w:t>
      </w:r>
      <w:r w:rsidR="00E338EB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(-1010,1)</w:t>
      </w:r>
      <w:r w:rsidR="009432AA"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9432AA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выплаты денежных поощрений народной дружине в сумме 7</w:t>
      </w:r>
      <w:r w:rsidR="009432AA"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>00,0</w:t>
      </w:r>
      <w:r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9432AA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казенного учреждения по выполнению функций единой диспетчерской службы в сумме </w:t>
      </w:r>
      <w:r w:rsidR="009432AA"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>5457,6 (-53,4)</w:t>
      </w:r>
      <w:r w:rsidRPr="0094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AC24F7" w:rsidRDefault="007D2C2F" w:rsidP="007D2C2F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6178E2" w:rsidRDefault="007D2C2F" w:rsidP="007D2C2F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178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экономика»</w:t>
      </w:r>
    </w:p>
    <w:p w:rsidR="007D2C2F" w:rsidRPr="006178E2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6178E2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Расходы по данному разделу в проекте бюджета на 201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 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78616,0 тыс. рублей.  В 2020-21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расходы составят 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57078,0 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78671,0 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="006178E2" w:rsidRP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планируемыми расходами 2018 года, бюджетные ассигнования увеличены на 31049,0 тыс. рублей</w:t>
      </w:r>
      <w:r w:rsidR="0061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наибольший удельный вес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рассматриваемом разделе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расходы по подразделу «Дорожное хозяйство (дорожные фонды)» </w:t>
      </w:r>
      <w:r w:rsidR="00456270"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>- 91,93</w:t>
      </w:r>
      <w:r w:rsidRPr="004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7D2C2F" w:rsidRPr="00AC24F7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53C7902D" wp14:editId="29F2FD78">
            <wp:extent cx="5876925" cy="5076825"/>
            <wp:effectExtent l="0" t="0" r="9525" b="952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</w:pPr>
    </w:p>
    <w:p w:rsidR="007D2C2F" w:rsidRPr="00E43735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proofErr w:type="gramStart"/>
      <w:r w:rsidRP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E4373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0405 «Сельское хозяйство»</w:t>
      </w:r>
      <w:r w:rsidRP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государственных полномочий </w:t>
      </w:r>
      <w:r w:rsidRPr="00E4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E43735" w:rsidRPr="00E43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реконструкцию и содержание скотомогильников</w:t>
      </w:r>
      <w:r w:rsidRP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субвенции из областного бюджета в сумме </w:t>
      </w:r>
      <w:r w:rsidR="00E43735" w:rsidRP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1774,0 </w:t>
      </w:r>
      <w:r w:rsidR="00E437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рублей.</w:t>
      </w:r>
      <w:proofErr w:type="gramEnd"/>
    </w:p>
    <w:p w:rsidR="005803CF" w:rsidRDefault="007D2C2F" w:rsidP="005803CF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proofErr w:type="gramStart"/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5803C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0409 «Дорожное хозяйство (дорожные фонды)»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запланированы расходы на содержание, строительство, капитальный ремонт и ремонт дорог, и обслуживание светофорных объектов на дорогах в рамках муниципальной программы «Повышение безопасности дорожного движения на территории городского округа город 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Михайловка Волгоградской области на 2017-2019 годы» в сумме </w:t>
      </w:r>
      <w:r w:rsidR="008709BD"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70817,0 (+24837,0) 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 за счет средств дорожного фонда городского округа</w:t>
      </w:r>
      <w:r w:rsidR="005803CF"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803CF" w:rsidRPr="0058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</w:t>
      </w:r>
      <w:proofErr w:type="gramEnd"/>
      <w:r w:rsidR="005803CF" w:rsidRPr="0058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транспортной инфраструктуры в сумме 100,0 тыс. рублей </w:t>
      </w:r>
      <w:r w:rsidR="005803CF"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</w:t>
      </w:r>
      <w:r w:rsid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тановку остановочного павильона, </w:t>
      </w:r>
      <w:r w:rsid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также непрограммные расходы в сумме 1360,0 тыс. рублей.</w:t>
      </w:r>
    </w:p>
    <w:p w:rsidR="005803CF" w:rsidRPr="005803CF" w:rsidRDefault="007D2C2F" w:rsidP="005803CF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5803CF"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рамках муниципальной программы «Повышение безопасности дорожного движения на территории городского округа город Михайловка Волгоградской области на 2017-2019 годы» в сумме </w:t>
      </w:r>
      <w:r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расходы</w:t>
      </w:r>
      <w:r w:rsidR="005803CF"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09BD" w:rsidRPr="005803CF" w:rsidRDefault="007D2C2F" w:rsidP="005803CF">
      <w:pPr>
        <w:pStyle w:val="a6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МБУ «Комбинат благоустройство и озеленение» субсидии  на выполнение муниципального задания по содержанию и ремонту дорог в сумме 40</w:t>
      </w:r>
      <w:r w:rsidR="008709BD"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</w:t>
      </w:r>
      <w:r w:rsidR="005803CF" w:rsidRPr="00580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3CF" w:rsidRPr="005803CF" w:rsidRDefault="005803CF" w:rsidP="0058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содержание автомобильных дорог сельских территорий </w:t>
      </w:r>
      <w:r w:rsidRPr="005803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сумме 1600,0 тыс. рублей;</w:t>
      </w:r>
    </w:p>
    <w:p w:rsidR="005803CF" w:rsidRPr="005803CF" w:rsidRDefault="005803CF" w:rsidP="0058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5803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ремонт тротуара по ул. Ленина от пер. Продольный до ул. Коммуны в сумме 630,0 тыс. рублей;</w:t>
      </w:r>
    </w:p>
    <w:p w:rsidR="005803CF" w:rsidRPr="005803CF" w:rsidRDefault="005803CF" w:rsidP="0058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</w:t>
      </w:r>
      <w:r w:rsidRPr="005803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устройство светофорного объекта на пересечении ул. Гоголя и ул. Коммуны за счет средств дорожного фонда в сумме 1800,0 тыс. рублей;</w:t>
      </w:r>
    </w:p>
    <w:p w:rsidR="005803CF" w:rsidRPr="005803CF" w:rsidRDefault="005803CF" w:rsidP="0058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ремонт асфальтобетонного покрытия по «Автодорога Завод – Карьер» от ул. П. Морозова до ул. Промышленная, ул. Промышленная от «Автодорога Завод-Карьер» до ул. Индустриальная, ул. Индустриальная от ул. Промышленная до ул.  </w:t>
      </w:r>
      <w:proofErr w:type="spellStart"/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Тишанская</w:t>
      </w:r>
      <w:proofErr w:type="spellEnd"/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</w:t>
      </w:r>
      <w:proofErr w:type="spellStart"/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Тишанская</w:t>
      </w:r>
      <w:proofErr w:type="spellEnd"/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(объездная дорога) в сумме 7500,0 тыс. рублей;</w:t>
      </w:r>
      <w:proofErr w:type="gramEnd"/>
    </w:p>
    <w:p w:rsidR="005803CF" w:rsidRPr="005803CF" w:rsidRDefault="005803CF" w:rsidP="00580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5803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содержание и  ремонт дорог городской и сельских территорий в сумме 19287,0 тыс. рублей, за счет средств субсидии из областного бюджета</w:t>
      </w:r>
      <w:r w:rsidR="00FD25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D2C2F" w:rsidRPr="00130D22" w:rsidRDefault="00130D22" w:rsidP="00130D22">
      <w:pPr>
        <w:pStyle w:val="a6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13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0412 «Другие вопросы в области национальной экономики»</w:t>
      </w:r>
      <w:r w:rsidRPr="0013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рамках реализации муниципальной программы по обновлению градостроительной документации о градостроительном планировании территорий городского округа в сумме 3865,0 тыс. рублей (разработка проекта внесения изменений в Правила землепользования и застройки городского округа, подготовка проекта внесений изменений в Генеральный план городского округа, проведение кадастровых работ по внесению сведений о границах населенных</w:t>
      </w:r>
      <w:proofErr w:type="gramEnd"/>
      <w:r w:rsidRPr="0013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входя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в состав городского округа), а также расходы </w:t>
      </w:r>
      <w:r w:rsidR="007D2C2F" w:rsidRPr="00130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субсидирование и поддержку субъектов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- в сумме 7</w:t>
      </w:r>
      <w:r w:rsidR="007D2C2F" w:rsidRPr="00130D22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рублей в рамках муниципальной программы развития и поддержки малого и среднего предпринимательства.</w:t>
      </w:r>
    </w:p>
    <w:p w:rsidR="007D2C2F" w:rsidRPr="00130D22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</w:pPr>
    </w:p>
    <w:p w:rsidR="007D2C2F" w:rsidRPr="00B60C4F" w:rsidRDefault="007D2C2F" w:rsidP="007D2C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0C4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Раздел «Жилищно-коммунальное хозяйство»</w:t>
      </w:r>
    </w:p>
    <w:p w:rsidR="007D2C2F" w:rsidRPr="00B60C4F" w:rsidRDefault="007D2C2F" w:rsidP="007D2C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B60C4F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разделу «Жилищно-коммунально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хозяйство» планируются на 2019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103748,5 (-1844,2)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В 2020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расходы предусмотрены в сумме 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81619,7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7</w:t>
      </w:r>
      <w:r w:rsidR="00B60C4F"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>7447,2</w:t>
      </w:r>
      <w:r w:rsidRPr="00B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соответственно.   </w:t>
      </w: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w:lastRenderedPageBreak/>
        <w:drawing>
          <wp:inline distT="0" distB="0" distL="0" distR="0" wp14:anchorId="286144C2" wp14:editId="36978BA3">
            <wp:extent cx="5495925" cy="3876675"/>
            <wp:effectExtent l="0" t="0" r="9525" b="9525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7D2C2F" w:rsidRPr="004D0F42" w:rsidRDefault="007D2C2F" w:rsidP="004D0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4D0F4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0501 «Жилищное хозяйство»  </w:t>
      </w:r>
      <w:r w:rsidRPr="004D0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предусмотрены 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на капитальный ремонт общего имущества в многоквартирных жилых домах за счет муниципального  жилищного фонда </w:t>
      </w:r>
      <w:r w:rsidRPr="004D0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сумме 6</w:t>
      </w:r>
      <w:r w:rsidR="004D0F42" w:rsidRPr="004D0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43,0 тыс. рублей, </w:t>
      </w:r>
      <w:r w:rsidRPr="004D0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предусмотрены денежные средства  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проведению капитального ремонта муниц</w:t>
      </w:r>
      <w:r w:rsidR="004D0F42"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жилого фонда в сумме 3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рублей.</w:t>
      </w:r>
    </w:p>
    <w:p w:rsidR="007D2C2F" w:rsidRPr="004D0F42" w:rsidRDefault="007D2C2F" w:rsidP="004D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4D0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4D0F42"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24543,2 (-13611,3) 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201</w:t>
      </w:r>
      <w:r w:rsidR="004D0F42"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7D2C2F" w:rsidRPr="00356772" w:rsidRDefault="007D2C2F" w:rsidP="004D0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42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по развитию и модернизац</w:t>
      </w:r>
      <w:r w:rsidRPr="00356772">
        <w:rPr>
          <w:rFonts w:ascii="Times New Roman" w:hAnsi="Times New Roman" w:cs="Times New Roman"/>
          <w:sz w:val="24"/>
          <w:szCs w:val="24"/>
        </w:rPr>
        <w:t xml:space="preserve">ии объектов коммунальной инфраструктуры в сумме </w:t>
      </w:r>
      <w:r w:rsidR="004D0F42" w:rsidRPr="00356772">
        <w:rPr>
          <w:rFonts w:ascii="Times New Roman" w:hAnsi="Times New Roman" w:cs="Times New Roman"/>
          <w:sz w:val="24"/>
          <w:szCs w:val="24"/>
        </w:rPr>
        <w:t xml:space="preserve">8892,8 (-7904,7) </w:t>
      </w:r>
      <w:r w:rsidRPr="00356772">
        <w:rPr>
          <w:rFonts w:ascii="Times New Roman" w:hAnsi="Times New Roman" w:cs="Times New Roman"/>
          <w:sz w:val="24"/>
          <w:szCs w:val="24"/>
        </w:rPr>
        <w:t>тыс. рублей.</w:t>
      </w:r>
    </w:p>
    <w:p w:rsidR="006314FC" w:rsidRPr="006314FC" w:rsidRDefault="006314FC" w:rsidP="006314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подключение к сети газораспределения нежилых зданий, расположенных в х. Субботин ул. </w:t>
      </w:r>
      <w:proofErr w:type="gramStart"/>
      <w:r w:rsidRPr="0063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proofErr w:type="gramEnd"/>
      <w:r w:rsidRPr="0063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,55 и в х. Большом в сумме 870,0 тыс. рублей;</w:t>
      </w:r>
    </w:p>
    <w:p w:rsidR="006314FC" w:rsidRPr="00356772" w:rsidRDefault="00356772" w:rsidP="004D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72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государственных полномочий по компенсации (возмещению) выпадающих доходов </w:t>
      </w:r>
      <w:proofErr w:type="spellStart"/>
      <w:r w:rsidRPr="00356772">
        <w:rPr>
          <w:rFonts w:ascii="Times New Roman" w:hAnsi="Times New Roman" w:cs="Times New Roman"/>
          <w:color w:val="000000"/>
          <w:sz w:val="24"/>
          <w:szCs w:val="24"/>
        </w:rPr>
        <w:t>ресурсоснабжающих</w:t>
      </w:r>
      <w:proofErr w:type="spellEnd"/>
      <w:r w:rsidRPr="003567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организаций, связанных с применением ими социальных тарифов (цен) на коммунальные ресурсы  (услуги) и услуги технического водоснабжения, поставляемые населению за счет средств субвенции из областного бюджета  в сумме  14780,4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C2F" w:rsidRPr="005F4103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5F4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«Благоустройство»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предусмотрены бюджетные ассигнования  в сумме 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68451,6 (+12005,4) 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201</w:t>
      </w:r>
      <w:r w:rsidR="00453682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5F4103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70750,0 тыс. рублей в 2020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5F4103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66750,0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202</w:t>
      </w:r>
      <w:r w:rsidR="005F4103"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7D2C2F" w:rsidRPr="005F4103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</w:t>
      </w:r>
      <w:r w:rsid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</w:t>
      </w:r>
      <w:r w:rsidR="00E1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</w:t>
      </w:r>
      <w:r w:rsidRPr="005F41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3FF" w:rsidRPr="00E143FF" w:rsidRDefault="00E143FF" w:rsidP="00E1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E1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E1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муниципального задания по благоустройству  автономному учреждению «Комбинат благоустройства и озеленения» в сумме 24000,0 тыс. рублей;</w:t>
      </w:r>
    </w:p>
    <w:p w:rsidR="00E143FF" w:rsidRDefault="00E143FF" w:rsidP="00E14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целевых субсидий муниципальному бюджетному учреждению «Комбинат благоустройства и озеленения» на содержание инспекций  по благоустройству, </w:t>
      </w:r>
      <w:r w:rsidRPr="00E1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пожарной безопасности, на обслуживание уличного освещения в сумме 7000,0 тыс. рублей;</w:t>
      </w:r>
    </w:p>
    <w:p w:rsidR="00E83546" w:rsidRPr="00E83546" w:rsidRDefault="00E83546" w:rsidP="00E83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расходов по уличному освещению в сумме  14107,0 тыс. рублей;</w:t>
      </w:r>
    </w:p>
    <w:p w:rsidR="00E83546" w:rsidRPr="00E83546" w:rsidRDefault="00E83546" w:rsidP="00E83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озеленение сельских территорий в сумме 210,0 тыс. рублей;</w:t>
      </w:r>
    </w:p>
    <w:p w:rsidR="00E83546" w:rsidRPr="00E83546" w:rsidRDefault="00E83546" w:rsidP="00E83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мест захоронений сельских территорий в сумме 300,0 тыс. рублей;</w:t>
      </w:r>
    </w:p>
    <w:p w:rsidR="00E83546" w:rsidRPr="00E83546" w:rsidRDefault="00E83546" w:rsidP="00E83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прочие расходы благоустройства на сельских территориях в сумме 1070,0 тыс. рублей;</w:t>
      </w:r>
    </w:p>
    <w:p w:rsidR="00E83546" w:rsidRPr="00E143FF" w:rsidRDefault="00E83546" w:rsidP="00E835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-строительство системы водоотведения по ул. </w:t>
      </w:r>
      <w:proofErr w:type="gramStart"/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proofErr w:type="gramEnd"/>
      <w:r w:rsidRPr="00E8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Отрадное в сумме 500,0 тыс. рублей.;</w:t>
      </w:r>
    </w:p>
    <w:p w:rsidR="007D2C2F" w:rsidRPr="00104AD4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по </w:t>
      </w:r>
      <w:proofErr w:type="spellStart"/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энергоресурсосбережению</w:t>
      </w:r>
      <w:proofErr w:type="spellEnd"/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04AD4"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18693,0</w:t>
      </w:r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</w:t>
      </w:r>
      <w:r w:rsidR="009F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долгосрочного </w:t>
      </w:r>
      <w:proofErr w:type="spellStart"/>
      <w:r w:rsidR="009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</w:t>
      </w:r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</w:t>
      </w:r>
      <w:proofErr w:type="spellEnd"/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в рамках которого будет произведен демонтаж установленных светильников уличного освещения, монтаж на их место новых энергосберегающих светодиодных светильников;</w:t>
      </w:r>
    </w:p>
    <w:p w:rsidR="007D2C2F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устойчивому развит</w:t>
      </w:r>
      <w:r w:rsidR="00104AD4"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сельских территорий в сумме 71,6</w:t>
      </w:r>
      <w:r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04AD4" w:rsidRPr="00104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D84" w:rsidRPr="000F0D84" w:rsidRDefault="000F0D84" w:rsidP="000F0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формированию современной городской среде в сумме 2500,0 тыс. рублей на благоустройство дворовых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территорий.</w:t>
      </w:r>
    </w:p>
    <w:p w:rsidR="000F0D84" w:rsidRPr="000F0D84" w:rsidRDefault="007D2C2F" w:rsidP="000F0D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подразделу </w:t>
      </w:r>
      <w:r w:rsidRPr="000F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0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 расходы реализацию муниципальной программы по содействию занятости населения на временное трудоустройство граждан в форме целевой субсидии муниципальному бюджетному учреждению «Комбинат благоустройства и озелене</w:t>
      </w:r>
      <w:r w:rsidR="000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в сумме 1500,0 тыс. рублей; </w:t>
      </w:r>
      <w:r w:rsidR="000F0D84" w:rsidRPr="000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обеспечение выполнения функций казенным учреждением МКУ «Отдел капитального строительства» в сумме 7623,0 тыс. рубл</w:t>
      </w:r>
      <w:r w:rsidR="000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а </w:t>
      </w:r>
      <w:r w:rsidR="000F0D84" w:rsidRPr="000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организацию и осуществление государственного жилищного надзора и лицензионного контроля в сумме 687,7 тыс. рублей.</w:t>
      </w:r>
    </w:p>
    <w:p w:rsidR="000F0D84" w:rsidRPr="000F0D84" w:rsidRDefault="000F0D84" w:rsidP="000F0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424FA2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24FA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«Образование»</w:t>
      </w:r>
    </w:p>
    <w:p w:rsidR="007D2C2F" w:rsidRPr="00AC24F7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37476E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 по разделу бюджета «Образование» предусмотрены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896790,5 (+41632,3) 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Доля указанных расходов в обще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объеме расходов бюджета в 2019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58,6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 проекте 201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доля расходов по данному разделу была на </w:t>
      </w:r>
      <w:r w:rsidR="0037476E"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61,16%.</w:t>
      </w:r>
    </w:p>
    <w:p w:rsidR="007D2C2F" w:rsidRPr="0037476E" w:rsidRDefault="007D2C2F" w:rsidP="007D2C2F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 бюджета по разделу «Образование»: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909"/>
        <w:gridCol w:w="919"/>
        <w:gridCol w:w="1039"/>
        <w:gridCol w:w="919"/>
        <w:gridCol w:w="966"/>
        <w:gridCol w:w="917"/>
        <w:gridCol w:w="917"/>
        <w:gridCol w:w="908"/>
      </w:tblGrid>
      <w:tr w:rsidR="008B2296" w:rsidRPr="008B2296" w:rsidTr="0045646C">
        <w:trPr>
          <w:trHeight w:val="1483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EC3B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EC3B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EC3B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</w:tr>
      <w:tr w:rsidR="008B2296" w:rsidRPr="008B2296" w:rsidTr="0045646C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9932E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9932E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2296" w:rsidRPr="008B2296" w:rsidTr="0045646C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256678,6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300751,3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319416,0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226A1E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318968,1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8B2296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8B2296" w:rsidRPr="008B2296" w:rsidTr="0045646C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482299,3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56,40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508279,3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506043,0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226A1E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5655F7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508027,6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8B2296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8B2296" w:rsidRPr="008B2296" w:rsidTr="0045646C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61474,8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58558,0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56370,0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226A1E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55270,0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8B2296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8B2296" w:rsidRPr="008B2296" w:rsidTr="0045646C">
        <w:trPr>
          <w:trHeight w:val="798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28500,8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29201,9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23099,7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226A1E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23099,7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8B2296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B2296" w:rsidRPr="008B2296" w:rsidTr="0045646C">
        <w:trPr>
          <w:trHeight w:val="742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26204,7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39359F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2296" w:rsidRPr="008B2296" w:rsidTr="0045646C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BD0" w:rsidRPr="008B2296" w:rsidRDefault="00EC3BD0" w:rsidP="00456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855158,2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EC3BD0" w:rsidP="00212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896790,5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904928,7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905365,4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0" w:rsidRPr="008B2296" w:rsidRDefault="009932E0" w:rsidP="004564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2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D2C2F" w:rsidRPr="00AC24F7" w:rsidRDefault="007D2C2F" w:rsidP="00036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F2300C" w:rsidRDefault="007D2C2F" w:rsidP="007D2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F23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0701 «Дошкольное образование»</w:t>
      </w: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</w:t>
      </w:r>
      <w:r w:rsidR="00F2300C"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300751,3 (+44072,7) </w:t>
      </w: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на 201</w:t>
      </w:r>
      <w:r w:rsidR="00F2300C"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F2300C"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>319416,0 тыс. рублей на 2020 год  и 318968,1</w:t>
      </w: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F2300C"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Из них:</w:t>
      </w:r>
    </w:p>
    <w:p w:rsidR="006A7AB7" w:rsidRDefault="006A7AB7" w:rsidP="006A7A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дошкольного образования в сумме 261512,3</w:t>
      </w:r>
      <w:r w:rsidR="006E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(+6489,7)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расходы на осуществление образовательно процесса за счет средств субвенции из областного бюджета  – 162371,1 тыс. рублей, расходы на повышение финансовой грамотности детей за счет субсидии из областного бюджета – 141,2 тыс. рублей;</w:t>
      </w:r>
    </w:p>
    <w:p w:rsidR="002729D0" w:rsidRPr="006A7AB7" w:rsidRDefault="002729D0" w:rsidP="006A7A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ведомственной программы «Обеспечение доступности и качества образования» 38468,9 тыс. рублей;</w:t>
      </w:r>
    </w:p>
    <w:p w:rsidR="007D2C2F" w:rsidRPr="00343EC6" w:rsidRDefault="007D2C2F" w:rsidP="006A7A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по обеспечению пожарной безопасности образовательных учреждений в сумме </w:t>
      </w:r>
      <w:r w:rsidR="00343EC6"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>250,0</w:t>
      </w: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Default="007D2C2F" w:rsidP="007D2C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медицинскому обеспечению в образовательн</w:t>
      </w:r>
      <w:r w:rsidR="00343EC6"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 в сумме 370,1</w:t>
      </w: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43EC6" w:rsidRPr="00CE30DA" w:rsidRDefault="00343EC6" w:rsidP="007D2C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повышению безопасности и антитеррористической защищенности в образовательных учреждениях</w:t>
      </w:r>
      <w:r w:rsidR="00CE30DA" w:rsidRPr="00CE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150,0 тыс. рублей.</w:t>
      </w:r>
    </w:p>
    <w:p w:rsidR="007D2C2F" w:rsidRDefault="007D2C2F" w:rsidP="007D2C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343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0702 «Общее образование»</w:t>
      </w: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</w:t>
      </w:r>
      <w:r w:rsidR="0020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508279,3  (+</w:t>
      </w:r>
      <w:r w:rsidR="00201E3F" w:rsidRPr="0020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25980,0) </w:t>
      </w:r>
      <w:r w:rsidRPr="0020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Из них:</w:t>
      </w:r>
    </w:p>
    <w:p w:rsidR="007620A4" w:rsidRDefault="007620A4" w:rsidP="0076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образовательных учреждений в сумме 250,0 тыс. рублей;</w:t>
      </w:r>
    </w:p>
    <w:p w:rsidR="007C76BD" w:rsidRDefault="007C76BD" w:rsidP="007C76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по медицинскому обеспечению в образовательных учреждениях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550,0</w:t>
      </w:r>
      <w:r w:rsid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B5658" w:rsidRPr="004B5658" w:rsidRDefault="004B5658" w:rsidP="004B56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духовно-нравственному воспитанию детей и подростков в сумме 20,0 тыс. рублей;</w:t>
      </w:r>
    </w:p>
    <w:p w:rsidR="00E768FA" w:rsidRPr="00E768FA" w:rsidRDefault="00E768FA" w:rsidP="00E76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формированию здорового образа жизни обучающихся в сумме 30,0 тыс. рублей;</w:t>
      </w:r>
    </w:p>
    <w:p w:rsidR="00E768FA" w:rsidRPr="00E768FA" w:rsidRDefault="00E768FA" w:rsidP="00E768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«Одаренные дети» в сумме 150,0 тыс. рублей (проведение конкурсов, фестивалей, мероприятий, конференций);</w:t>
      </w:r>
    </w:p>
    <w:p w:rsidR="007C76BD" w:rsidRDefault="00E768FA" w:rsidP="0030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реализацию мероприятий муниципальной программы по совершенствованию материально-технической базы образовательных учреждений в сумме 500,0 тыс. рублей;</w:t>
      </w:r>
    </w:p>
    <w:p w:rsidR="00AE7A45" w:rsidRPr="00AE7A45" w:rsidRDefault="00AE7A45" w:rsidP="00303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="0089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питания, отдыха и </w:t>
      </w:r>
      <w:proofErr w:type="gramStart"/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сумме 24173,2</w:t>
      </w:r>
      <w:r w:rsidR="0030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(+7393,0)</w:t>
      </w:r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7A45" w:rsidRPr="00E768FA" w:rsidRDefault="00AE7A45" w:rsidP="00303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="0089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E7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устойчивому развитию сельских территорий в сумме 1000,0 рублей на строительство общеобразовательной школы на 250 мест в пос. Отрадное;</w:t>
      </w:r>
    </w:p>
    <w:p w:rsidR="000C2C15" w:rsidRPr="000C2C15" w:rsidRDefault="007D2C2F" w:rsidP="007D2C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муниципальных учреждений общего образования в сумме  4</w:t>
      </w:r>
      <w:r w:rsidR="000C2C15" w:rsidRPr="000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81606,1 </w:t>
      </w:r>
      <w:r w:rsidR="006E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(+19980,4) </w:t>
      </w:r>
      <w:r w:rsidR="000C2C15" w:rsidRPr="000C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45164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F45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0703 «Дополнительное образование детей»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сумме </w:t>
      </w:r>
      <w:r w:rsidR="0005293D"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>58558,0 (-</w:t>
      </w:r>
      <w:r w:rsidR="00182CE1"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2916,8) </w:t>
      </w:r>
      <w:r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45164" w:rsidRPr="00F45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BF7" w:rsidRDefault="00CD6BF7" w:rsidP="00CD6B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реализацию мероприятий муниципальной программы по медицинскому обеспечению в образовательных учреждениях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79,0 тыс. рублей;</w:t>
      </w:r>
    </w:p>
    <w:p w:rsidR="00CD6BF7" w:rsidRPr="004B5658" w:rsidRDefault="00CD6BF7" w:rsidP="00CD6B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духовно-нравственному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и подростков в сумме 5</w:t>
      </w:r>
      <w:r w:rsidRPr="004B5658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1F7073" w:rsidRPr="001F7073" w:rsidRDefault="001F7073" w:rsidP="001F70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поддержке и развитию детского творчества в сумме 150,0 тыс. рублей;</w:t>
      </w:r>
    </w:p>
    <w:p w:rsidR="00CD6BF7" w:rsidRPr="00F45164" w:rsidRDefault="001F7073" w:rsidP="006E0D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учреждений культуры в сумме 24,9 тыс. рублей;</w:t>
      </w:r>
    </w:p>
    <w:p w:rsidR="007D2C2F" w:rsidRPr="006E0DF0" w:rsidRDefault="00F45164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2C2F"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D2C2F" w:rsidRPr="006E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2F"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дополнительного образования предусмотрены расх</w:t>
      </w:r>
      <w:r w:rsidR="006E0DF0"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в сумме 58198,2 тыс. рублей;</w:t>
      </w:r>
    </w:p>
    <w:p w:rsidR="006E0DF0" w:rsidRPr="006E0DF0" w:rsidRDefault="006E0DF0" w:rsidP="006E0D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укреплению и развитию материально-технической базы учреждений дополнительного образования детей  в сумме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рублей.</w:t>
      </w:r>
    </w:p>
    <w:p w:rsidR="007D2C2F" w:rsidRPr="006E0DF0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 подразделу </w:t>
      </w:r>
      <w:r w:rsidRPr="006E0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предусматриваются расходы в сумме 2</w:t>
      </w:r>
      <w:r w:rsidR="006E0DF0"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>9201,9</w:t>
      </w: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7D2C2F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F119F" w:rsidRPr="005F119F" w:rsidRDefault="00FE04A7" w:rsidP="005F119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9F" w:rsidRPr="005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учреждений молодежной политики в сумме 94,0 тыс. рублей;</w:t>
      </w:r>
    </w:p>
    <w:p w:rsidR="00A717D4" w:rsidRPr="00FE04A7" w:rsidRDefault="00FE04A7" w:rsidP="00A71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7D4"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«Чистое слово» в сумме 10,0 тыс. рублей;</w:t>
      </w:r>
    </w:p>
    <w:p w:rsidR="00FE04A7" w:rsidRPr="00FE04A7" w:rsidRDefault="00FE04A7" w:rsidP="00FE04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профилактике экстремисткой деятельности в молодежной среде в сумме     20,0 тыс. рублей;</w:t>
      </w:r>
    </w:p>
    <w:p w:rsidR="00FE04A7" w:rsidRPr="00FE04A7" w:rsidRDefault="00FE04A7" w:rsidP="00FE04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программы по организации питания, отдыха и </w:t>
      </w:r>
      <w:proofErr w:type="gramStart"/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сумме 11343,0 тыс. рублей;</w:t>
      </w:r>
    </w:p>
    <w:p w:rsidR="005F119F" w:rsidRDefault="003B0291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 </w:t>
      </w:r>
      <w:r w:rsidRPr="00FE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«Молодежь Михайловк</w:t>
      </w:r>
      <w:r w:rsidR="00900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17567,4 тыс. рублей;</w:t>
      </w:r>
    </w:p>
    <w:p w:rsidR="00DE15FB" w:rsidRDefault="00DE15FB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по повышению безопасности и антитеррористической защищенности учреждений дополнительного образования детей в сфере в сфере молодежной политики в сумме 17,5 тыс. рублей</w:t>
      </w:r>
      <w:r w:rsidR="0090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39B" w:rsidRPr="00DE15FB" w:rsidRDefault="0090039B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мероприятия «Школа общественной активности» 150,0 тыс. рублей.</w:t>
      </w: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«Культура, кинематография»</w:t>
      </w:r>
    </w:p>
    <w:p w:rsidR="007D2C2F" w:rsidRPr="00861FAA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C2F" w:rsidRPr="00861FAA" w:rsidRDefault="007D2C2F" w:rsidP="007D2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«Культура, кинем</w:t>
      </w:r>
      <w:r w:rsidR="00861FAA"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атография» предусмотрены на 2019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861FAA"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95265,0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 По сравнению с планом предыдущего года, расходы снизятся  на </w:t>
      </w:r>
      <w:r w:rsidR="00861FAA"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>2563,9</w:t>
      </w: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861FAA" w:rsidRDefault="007D2C2F" w:rsidP="007D2C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D2C2F" w:rsidRPr="00861FAA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городского бюджета по разделу «Культура, кинематография»</w:t>
      </w:r>
    </w:p>
    <w:p w:rsidR="007D2C2F" w:rsidRPr="00AC24F7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BB61455" wp14:editId="6336B3C1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2C2F" w:rsidRPr="000C3981" w:rsidRDefault="007D2C2F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0C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0801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«Культура» 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бюджетные ассигнования в сумме 9</w:t>
      </w:r>
      <w:r w:rsidR="00FC2D13"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5265,0 </w:t>
      </w:r>
      <w:r w:rsidRPr="000C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рублей: </w:t>
      </w:r>
    </w:p>
    <w:p w:rsidR="007D2C2F" w:rsidRPr="00525479" w:rsidRDefault="007D2C2F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обеспечение деятельности муниципальных учреждений культуры в сумме 9</w:t>
      </w:r>
      <w:r w:rsidR="0052547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525479" w:rsidRPr="00525479">
        <w:rPr>
          <w:rFonts w:ascii="Times New Roman" w:eastAsia="Times New Roman" w:hAnsi="Times New Roman" w:cs="Times New Roman"/>
          <w:sz w:val="24"/>
          <w:szCs w:val="24"/>
          <w:lang w:eastAsia="ru-RU"/>
        </w:rPr>
        <w:t>65,0</w:t>
      </w:r>
      <w:r w:rsidRPr="0052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32401E" w:rsidRDefault="007D2C2F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по обеспечению пожарной безопасности учреждений культуры в сумме </w:t>
      </w:r>
      <w:r w:rsidR="0032401E"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32401E" w:rsidRDefault="007D2C2F" w:rsidP="007D2C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проведение общегородских мероприятий в сумме </w:t>
      </w:r>
      <w:r w:rsidR="0032401E"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>400,0</w:t>
      </w:r>
      <w:r w:rsidR="009D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Default="0032401E" w:rsidP="007D2C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реализацию мероприятий муниципальной программы по укреплению материально-технической базы учреждений кул</w:t>
      </w:r>
      <w:r w:rsidR="009D1AB4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 в сумме 300,0 тыс. рублей;</w:t>
      </w:r>
    </w:p>
    <w:p w:rsidR="009D1AB4" w:rsidRPr="0032401E" w:rsidRDefault="009D1AB4" w:rsidP="007D2C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реализацию мероприятий программы по повышению безопасности и антитеррористической защищенности в сфере культуры в сумме 100,0 тыс. рублей;</w:t>
      </w:r>
    </w:p>
    <w:p w:rsidR="007D2C2F" w:rsidRPr="00832E23" w:rsidRDefault="007D2C2F" w:rsidP="007D2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«Социальная политика»</w:t>
      </w: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представленном проекте решения расходы по разделу 10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00 «Социальная политика» на 2019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составят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99070,4 (+41283,0) тыс. рублей, в 2020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101070,4 (+ 44331,0) 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202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32E23"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100070,4 (+45664,8) </w:t>
      </w:r>
      <w:r w:rsidRPr="0083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832E23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по разделу «Социальная политика»</w:t>
      </w:r>
    </w:p>
    <w:p w:rsidR="007D2C2F" w:rsidRPr="00AC24F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5E278F41" wp14:editId="2EAFAC06">
            <wp:extent cx="5495925" cy="3209925"/>
            <wp:effectExtent l="0" t="0" r="9525" b="9525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2C2F" w:rsidRPr="00A407E4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рассматриваемого раздела представлена следующими подразделами:</w:t>
      </w:r>
    </w:p>
    <w:p w:rsidR="007D2C2F" w:rsidRPr="00A407E4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1001 «Пенсионное обеспечение»: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доплаты к пенсиям муниципальных служащих в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в </w:t>
      </w:r>
      <w:r w:rsid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5000,0 (- 2548,0)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D2C2F" w:rsidRPr="00A407E4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1003 «Социальное обеспечение населения»: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в 201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в сумме </w:t>
      </w:r>
      <w:r w:rsidR="00A407E4"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44525,9 (+13012,2) </w:t>
      </w:r>
      <w:r w:rsidRPr="00A4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7D2C2F" w:rsidRPr="008A1CE5" w:rsidRDefault="007D2C2F" w:rsidP="007D2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по предоставлению субсидий  молодым семьям на приобретение жилья в сумме  2333,8 тыс. рублей;</w:t>
      </w:r>
    </w:p>
    <w:p w:rsidR="007D2C2F" w:rsidRDefault="007D2C2F" w:rsidP="007D2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передаваемых государственных полномочий за счет средств субвенций из областного бюджета  предусмотрены расходы </w:t>
      </w:r>
      <w:proofErr w:type="gramStart"/>
      <w:r w:rsidRPr="008A1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E27" w:rsidRPr="00E24E27" w:rsidRDefault="00E24E27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п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рабочих поселках на территории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сумме </w:t>
      </w:r>
      <w:r w:rsidRPr="00E24E27">
        <w:rPr>
          <w:rFonts w:ascii="Times New Roman" w:eastAsia="Times New Roman" w:hAnsi="Times New Roman" w:cs="Times New Roman"/>
          <w:sz w:val="24"/>
          <w:szCs w:val="24"/>
          <w:lang w:eastAsia="ru-RU"/>
        </w:rPr>
        <w:t>2323,2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24E27" w:rsidRDefault="00E24E27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- п</w:t>
      </w:r>
      <w:r w:rsidRPr="00E24E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E24E27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55F82" w:rsidRPr="00455F82" w:rsidRDefault="00455F82" w:rsidP="00E24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proofErr w:type="gramStart"/>
      <w:r w:rsidRPr="004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оплату</w:t>
      </w:r>
      <w:r w:rsidRPr="00455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455F82">
        <w:rPr>
          <w:rFonts w:ascii="Times New Roman" w:eastAsia="Times New Roman" w:hAnsi="Times New Roman" w:cs="Times New Roman"/>
          <w:sz w:val="24"/>
          <w:szCs w:val="24"/>
          <w:lang w:eastAsia="ru-RU"/>
        </w:rPr>
        <w:t>4262,4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D85853" w:rsidRPr="00D85853" w:rsidRDefault="00507042" w:rsidP="00D85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- п</w:t>
      </w:r>
      <w:r w:rsidRPr="005070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редоставление гражданам  субсидий на оплату жилого помещения и коммунальных услуг</w:t>
      </w:r>
      <w:r w:rsidR="00D858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5070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85853"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>35506,9</w:t>
      </w:r>
      <w:r w:rsid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Default="007D2C2F" w:rsidP="003F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65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1004 «Охрана семьи и детства»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запланированы в сумме</w:t>
      </w:r>
      <w:r w:rsidR="00F659EC"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43180,4 (+24454,7)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Предусмотрены расходы </w:t>
      </w:r>
      <w:proofErr w:type="gramStart"/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68F" w:rsidRDefault="003F468F" w:rsidP="003F46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в</w:t>
      </w:r>
      <w:r w:rsidRPr="003F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3F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пособий по опеке и  попечительств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в сумме </w:t>
      </w:r>
      <w:r w:rsidRPr="003F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F468F">
        <w:rPr>
          <w:rFonts w:ascii="Times New Roman" w:eastAsia="Times New Roman" w:hAnsi="Times New Roman" w:cs="Times New Roman"/>
          <w:sz w:val="24"/>
          <w:szCs w:val="24"/>
          <w:lang w:eastAsia="ru-RU"/>
        </w:rPr>
        <w:t>20318,0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F468F" w:rsidRPr="00F659EC" w:rsidRDefault="003F468F" w:rsidP="003F46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- в</w:t>
      </w:r>
      <w:r w:rsidRPr="003F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ознаграждение за труд приемным родителям (патронатному воспитателю) и предоставление им мер социальной поддержки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сумме </w:t>
      </w:r>
      <w:r w:rsidRPr="003F468F">
        <w:rPr>
          <w:rFonts w:ascii="Times New Roman" w:eastAsia="Times New Roman" w:hAnsi="Times New Roman" w:cs="Times New Roman"/>
          <w:sz w:val="24"/>
          <w:szCs w:val="24"/>
          <w:lang w:eastAsia="ru-RU"/>
        </w:rPr>
        <w:t>10147,0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Default="007D2C2F" w:rsidP="003F4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6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компенсацию части родительской платы за содержание ребенка в муниципальном дошкольном образовательном учреждении в сумме </w:t>
      </w:r>
      <w:r w:rsidR="00F659EC"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12715,4 (+8788,7) </w:t>
      </w:r>
      <w:r w:rsidRPr="00F65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5561A6" w:rsidRDefault="00F659EC" w:rsidP="005561A6">
      <w:pPr>
        <w:spacing w:after="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  <w:t xml:space="preserve">         </w:t>
      </w:r>
      <w:r w:rsidRPr="00F659EC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1006 «Другие вопросы в области социальной политики»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расходы запланированы в сумме 6364,1 тыс. рублей</w:t>
      </w:r>
      <w:r w:rsidR="005561A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5561A6" w:rsidRDefault="005561A6" w:rsidP="005561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</w:t>
      </w:r>
      <w:r w:rsidRPr="005561A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 </w:t>
      </w:r>
      <w:r w:rsidR="00C440B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содержание аппарата по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рганизаци</w:t>
      </w:r>
      <w:r w:rsidR="00C44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осуществлени</w:t>
      </w:r>
      <w:r w:rsidR="00C440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по опеке и попечительству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сумме </w:t>
      </w:r>
      <w:r w:rsidRPr="005561A6">
        <w:rPr>
          <w:rFonts w:ascii="Times New Roman" w:eastAsia="Times New Roman" w:hAnsi="Times New Roman" w:cs="Times New Roman"/>
          <w:sz w:val="24"/>
          <w:szCs w:val="24"/>
          <w:lang w:eastAsia="ru-RU"/>
        </w:rPr>
        <w:t>3311,0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561A6" w:rsidRPr="00C440B3" w:rsidRDefault="005561A6" w:rsidP="00C440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 содержание аппарата по п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556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гражданам  субсидий на оплату жилого помещения и коммунальных услуг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сумме </w:t>
      </w:r>
      <w:r w:rsidRPr="005561A6">
        <w:rPr>
          <w:rFonts w:ascii="Times New Roman" w:eastAsia="Times New Roman" w:hAnsi="Times New Roman" w:cs="Times New Roman"/>
          <w:sz w:val="24"/>
          <w:szCs w:val="24"/>
          <w:lang w:eastAsia="ru-RU"/>
        </w:rPr>
        <w:t>3053,1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095C05" w:rsidRDefault="007D2C2F" w:rsidP="00F659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7D2C2F" w:rsidRPr="00095C05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95C0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«Физическая культура и спорт»</w:t>
      </w:r>
    </w:p>
    <w:p w:rsidR="007D2C2F" w:rsidRPr="00095C05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C2F" w:rsidRPr="00095C05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 расходы городского бюджета по разделу «Физи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культура и спорт» на 2019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42246,7 (-4952,3)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тыс., в 20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году 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34800  (-7821,8)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предусмотрены в сумме </w:t>
      </w:r>
      <w:r w:rsidR="00095C05"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>35060,5 (-9441,2)</w:t>
      </w:r>
      <w:r w:rsidRPr="000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7D2C2F" w:rsidRPr="00AC24F7" w:rsidRDefault="007D2C2F" w:rsidP="007D2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33869C90" wp14:editId="4E312205">
            <wp:extent cx="5495925" cy="3209925"/>
            <wp:effectExtent l="0" t="0" r="9525" b="9525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2C2F" w:rsidRPr="0024776F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247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1101 «Физическая культура»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</w:t>
      </w:r>
      <w:r w:rsid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4776F"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25714,7 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201</w:t>
      </w:r>
      <w:r w:rsidR="0024776F"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т. ч.:</w:t>
      </w:r>
    </w:p>
    <w:p w:rsidR="007D2C2F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муниципальной программы  по развитию физической культуры и спорта в сумме 25</w:t>
      </w:r>
      <w:r w:rsidR="0024776F"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6D387B"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</w:t>
      </w:r>
      <w:proofErr w:type="spellStart"/>
      <w:r w:rsid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выполнения функций спортивных школ в сумме 23500,0 тыс. рублей, и проведение мероприятий по физической культуре и спорту спортивными школами в сумме 2000,0 тыс. рублей;</w:t>
      </w:r>
    </w:p>
    <w:p w:rsidR="006D387B" w:rsidRPr="006D387B" w:rsidRDefault="006D387B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программы по формированию доступной среды жизнедеятельности для инвалидов и маломобильных групп в сумме 201,7 тыс. рублей; </w:t>
      </w:r>
    </w:p>
    <w:p w:rsidR="007D2C2F" w:rsidRPr="006D387B" w:rsidRDefault="007D2C2F" w:rsidP="00DB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на реализацию мероприятий муниципальной программы по повышению безопасности и антитеррористической защищенности спортивных школ в сумме </w:t>
      </w:r>
      <w:r w:rsidR="006D387B"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  <w:r w:rsidRPr="006D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7D2C2F" w:rsidRPr="00EC451D" w:rsidRDefault="007D2C2F" w:rsidP="00DB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подразделу </w:t>
      </w:r>
      <w:r w:rsidRPr="00EC4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1102 «Массовый спорт»</w:t>
      </w: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бюджетные ассигнования в сумме</w:t>
      </w:r>
      <w:r w:rsidR="00EC451D"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16532,0 (-5174,9)</w:t>
      </w:r>
      <w:r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EC451D" w:rsidRPr="00EC451D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году:</w:t>
      </w:r>
    </w:p>
    <w:p w:rsidR="007D2C2F" w:rsidRPr="00DB5862" w:rsidRDefault="007D2C2F" w:rsidP="007D2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реализацию мероприятий муниципальной программы по содействию занятости на временное трудоустройство несовершеннолетних граждан в сумме </w:t>
      </w:r>
      <w:r w:rsidR="00DB5862" w:rsidRP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>332,0</w:t>
      </w:r>
      <w:r w:rsidRPr="00DB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D2C2F" w:rsidRPr="00DB5862" w:rsidRDefault="007D2C2F" w:rsidP="007D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B5862">
        <w:rPr>
          <w:rFonts w:ascii="Times New Roman" w:hAnsi="Times New Roman" w:cs="Times New Roman"/>
          <w:sz w:val="24"/>
          <w:szCs w:val="24"/>
        </w:rPr>
        <w:t xml:space="preserve">- на реализацию мероприятий муниципальной программы по развитию массовой физической культуры и спорта, в рамках которой предусмотрены средства в сумме </w:t>
      </w:r>
      <w:r w:rsidR="00DB5862" w:rsidRPr="00DB5862">
        <w:rPr>
          <w:rFonts w:ascii="Times New Roman" w:hAnsi="Times New Roman" w:cs="Times New Roman"/>
          <w:sz w:val="24"/>
          <w:szCs w:val="24"/>
        </w:rPr>
        <w:t xml:space="preserve">16200,0 тыс. рублей, в </w:t>
      </w:r>
      <w:proofErr w:type="spellStart"/>
      <w:r w:rsidR="00DB5862" w:rsidRPr="00DB58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B5862" w:rsidRPr="00DB5862">
        <w:rPr>
          <w:rFonts w:ascii="Times New Roman" w:hAnsi="Times New Roman" w:cs="Times New Roman"/>
          <w:sz w:val="24"/>
          <w:szCs w:val="24"/>
        </w:rPr>
        <w:t xml:space="preserve">. на изготовление проектно-сметной документации  </w:t>
      </w:r>
      <w:r w:rsidR="00DB5862" w:rsidRPr="00DB5862">
        <w:rPr>
          <w:rFonts w:ascii="Times New Roman" w:hAnsi="Times New Roman" w:cs="Times New Roman"/>
          <w:sz w:val="24"/>
          <w:szCs w:val="24"/>
        </w:rPr>
        <w:lastRenderedPageBreak/>
        <w:t>(строительство крытого катка с искусственным льдом)</w:t>
      </w:r>
      <w:r w:rsidR="00752A11">
        <w:rPr>
          <w:rFonts w:ascii="Times New Roman" w:hAnsi="Times New Roman" w:cs="Times New Roman"/>
          <w:sz w:val="24"/>
          <w:szCs w:val="24"/>
        </w:rPr>
        <w:t xml:space="preserve"> в сумме 2300,0 тыс. рублей, обеспечение выполнения функций АУ «Центр физической культуры и спорта» в сумме 12500, тыс. рублей, целевая субсидия АУ «Центр физической культуры</w:t>
      </w:r>
      <w:proofErr w:type="gramEnd"/>
      <w:r w:rsidR="00752A11">
        <w:rPr>
          <w:rFonts w:ascii="Times New Roman" w:hAnsi="Times New Roman" w:cs="Times New Roman"/>
          <w:sz w:val="24"/>
          <w:szCs w:val="24"/>
        </w:rPr>
        <w:t xml:space="preserve"> и спорта» на проведение мероприятий по физической культуре и спорту для организации работ тренеров на сельских территориях в сумме 1300,0 тыс. рублей, а также проведение мероприятий по физической культуре и спорту отделами сельских территорий в сумме 100,0 тыс. рублей.</w:t>
      </w:r>
    </w:p>
    <w:p w:rsidR="007D2C2F" w:rsidRPr="00AC24F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ru-RU"/>
        </w:rPr>
      </w:pPr>
    </w:p>
    <w:p w:rsidR="007D2C2F" w:rsidRPr="002C21E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C21E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«Средства массовой информации»</w:t>
      </w:r>
    </w:p>
    <w:p w:rsidR="007D2C2F" w:rsidRPr="002C21E7" w:rsidRDefault="007D2C2F" w:rsidP="007D2C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D2C2F" w:rsidRPr="0027206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проекте решения бюджетные ассигнования по разделу бюджета «Средства массовой информации» предусмотрены на 201</w:t>
      </w:r>
      <w:r w:rsidR="0027206B"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27206B"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3363,9 (+363,9) 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7D2C2F" w:rsidRPr="0027206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FE99E0" wp14:editId="1F61D103">
            <wp:extent cx="5495925" cy="3209925"/>
            <wp:effectExtent l="0" t="0" r="9525" b="9525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2C2F" w:rsidRPr="0027206B" w:rsidRDefault="007D2C2F" w:rsidP="007D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Вся сумма бюджетных ассигнований приходится на подраздел </w:t>
      </w:r>
      <w:r w:rsidRPr="00272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1202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«Периодическая печать и издательства»: 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средства на финансовое обеспечение выполнения муниципального задания муниципальным автономным учреждением периодической печати в сумме 3</w:t>
      </w:r>
      <w:r w:rsidR="0027206B"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>363,9</w:t>
      </w:r>
      <w:r w:rsidRPr="0027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«Обслуживание государственного и муниципального долга»</w:t>
      </w:r>
    </w:p>
    <w:p w:rsidR="007D2C2F" w:rsidRPr="0027206B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9975BE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97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1301 Обслуживание внутреннего государственного и муниципального долга»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</w:t>
      </w:r>
      <w:r w:rsidR="009975BE"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5648,5 (+2622,5)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9975BE"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9975BE" w:rsidRPr="009975BE">
        <w:rPr>
          <w:rFonts w:ascii="Times New Roman" w:eastAsia="Times New Roman" w:hAnsi="Times New Roman" w:cs="Times New Roman"/>
          <w:sz w:val="24"/>
          <w:szCs w:val="24"/>
          <w:lang w:eastAsia="ru-RU"/>
        </w:rPr>
        <w:t>5664,0 тыс. рублей в 2020 году, 5478,3 тыс. рублей в 2021 году.</w:t>
      </w:r>
    </w:p>
    <w:p w:rsidR="007D2C2F" w:rsidRPr="00F62B10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требованиям ст.111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При проведении анализа планируемых расходов на обслуживание муниципального долга на 201</w:t>
      </w:r>
      <w:r w:rsidR="00BC3178"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C3178"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нарушений требований ст.111 Бюджетного кодекса Российской Федерации не установлено.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F62B10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2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7D2C2F" w:rsidRPr="00AC24F7" w:rsidRDefault="007D2C2F" w:rsidP="007D2C2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2C2F" w:rsidRPr="00F62B10" w:rsidRDefault="007D2C2F" w:rsidP="007D2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муниципальных внутренних заимствований городского округа на 201</w:t>
      </w:r>
      <w:r w:rsidR="00F62B10"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62B10"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не планируется привлечение заемных средств.</w:t>
      </w:r>
    </w:p>
    <w:p w:rsidR="007D2C2F" w:rsidRPr="00872A43" w:rsidRDefault="007D2C2F" w:rsidP="007D2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муниципальных внутренних заимствований на 201</w:t>
      </w:r>
      <w:r w:rsidR="00872A43"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предусматривается  погашение основного долга по кредиту  в объеме 1</w:t>
      </w:r>
      <w:r w:rsidR="00872A43"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>8336,0</w:t>
      </w: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за счет прогнозируемого остатка на счете бюджета на   01 января 201</w:t>
      </w:r>
      <w:r w:rsidR="00872A43"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Pr="00872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7D2C2F" w:rsidRPr="00D517FC" w:rsidRDefault="007D2C2F" w:rsidP="007D2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муниципальных </w:t>
      </w:r>
      <w:r w:rsidR="00943613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внутренних заимствований на 2020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предусматривается  погашение основного долга по кредиту  в объеме 1</w:t>
      </w:r>
      <w:r w:rsidR="00943613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>8336,0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за счет прогнозируемого остатка на </w:t>
      </w:r>
      <w:r w:rsidR="00943613"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счете бюджета на   01 января 2020 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6B61A8" w:rsidRPr="00B7593C" w:rsidRDefault="00E244F8" w:rsidP="00B7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муниципальных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внутренних заимствований на 2021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предусматривается  погашение основного долга по кредиту  в объеме 18336,0 тыс. рублей за счет прогнозируемого остатка на счете бюджета на   01 января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5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7D2C2F" w:rsidRPr="00B7593C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требований Бюджетного кодекса Российской Федерации установлены предельные показатели муниципального долга городского округа:</w:t>
      </w:r>
    </w:p>
    <w:p w:rsidR="007D2C2F" w:rsidRPr="00B7593C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предельный объем муниципального долга городского округа на 201</w:t>
      </w:r>
      <w:r w:rsidR="00B7593C"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</w:t>
      </w:r>
      <w:r w:rsidR="00B7593C"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 100000,0 тыс. рублей, на 2020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100000,0 тыс. рублей, на 202</w:t>
      </w:r>
      <w:r w:rsidR="00B7593C"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100000,0 тыс. рублей;</w:t>
      </w:r>
    </w:p>
    <w:p w:rsidR="007D2C2F" w:rsidRPr="008E0BDB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муниципального долга по состоянию на 01 января 20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36664,0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 гарантиям – 0,0  тыс. рублей, на 1 января 202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18328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 гарантиям – 0,0  тыс. рублей, на 1 января 202</w:t>
      </w:r>
      <w:r w:rsidR="008E0BDB"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– 0,0 тыс. рублей, в том числе верхний</w:t>
      </w:r>
      <w:proofErr w:type="gramEnd"/>
      <w:r w:rsidRPr="008E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долга по муниципальным  гарантиям – 0,0  тыс. рублей.</w:t>
      </w:r>
    </w:p>
    <w:p w:rsidR="007D2C2F" w:rsidRPr="00EC20C7" w:rsidRDefault="007D2C2F" w:rsidP="007D2C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EC20C7" w:rsidRDefault="007D2C2F" w:rsidP="007D2C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0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1"/>
        <w:gridCol w:w="1713"/>
        <w:gridCol w:w="1836"/>
        <w:gridCol w:w="1780"/>
      </w:tblGrid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  <w:hideMark/>
          </w:tcPr>
          <w:p w:rsidR="007D2C2F" w:rsidRPr="00EC20C7" w:rsidRDefault="007D2C2F" w:rsidP="004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  <w:p w:rsidR="007D2C2F" w:rsidRPr="00EC20C7" w:rsidRDefault="007D2C2F" w:rsidP="004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pct"/>
            <w:shd w:val="clear" w:color="auto" w:fill="FFFFFF" w:themeFill="background1"/>
            <w:noWrap/>
            <w:hideMark/>
          </w:tcPr>
          <w:p w:rsidR="007D2C2F" w:rsidRPr="00EC20C7" w:rsidRDefault="007D2C2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0E1DEF"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59" w:type="pct"/>
            <w:shd w:val="clear" w:color="auto" w:fill="FFFFFF" w:themeFill="background1"/>
            <w:noWrap/>
            <w:hideMark/>
          </w:tcPr>
          <w:p w:rsidR="007D2C2F" w:rsidRPr="00EC20C7" w:rsidRDefault="007D2C2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0E1DEF"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30" w:type="pct"/>
            <w:shd w:val="clear" w:color="auto" w:fill="FFFFFF" w:themeFill="background1"/>
            <w:noWrap/>
            <w:hideMark/>
          </w:tcPr>
          <w:p w:rsidR="007D2C2F" w:rsidRPr="00EC20C7" w:rsidRDefault="007D2C2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0E1DEF"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C20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1530134,8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1498805,0</w:t>
            </w:r>
          </w:p>
        </w:tc>
        <w:tc>
          <w:tcPr>
            <w:tcW w:w="930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1532042,1</w:t>
            </w:r>
          </w:p>
        </w:tc>
      </w:tr>
      <w:tr w:rsidR="007D2C2F" w:rsidRPr="00EC20C7" w:rsidTr="000E1DEF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730307,8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701879,0</w:t>
            </w:r>
          </w:p>
        </w:tc>
        <w:tc>
          <w:tcPr>
            <w:tcW w:w="930" w:type="pct"/>
            <w:shd w:val="clear" w:color="auto" w:fill="FFFFFF" w:themeFill="background1"/>
            <w:noWrap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708015,1</w:t>
            </w:r>
          </w:p>
        </w:tc>
      </w:tr>
      <w:tr w:rsidR="007D2C2F" w:rsidRPr="00EC20C7" w:rsidTr="000E1DEF">
        <w:trPr>
          <w:trHeight w:val="315"/>
        </w:trPr>
        <w:tc>
          <w:tcPr>
            <w:tcW w:w="2216" w:type="pct"/>
            <w:shd w:val="clear" w:color="auto" w:fill="auto"/>
            <w:vAlign w:val="bottom"/>
            <w:hideMark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799827,0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796926,0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824027,0</w:t>
            </w:r>
          </w:p>
        </w:tc>
      </w:tr>
      <w:tr w:rsidR="007D2C2F" w:rsidRPr="00EC20C7" w:rsidTr="000E1DEF">
        <w:trPr>
          <w:trHeight w:val="315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Муниципальный долг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55000,0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36664,0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18328,0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  <w:hideMark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предел муниципального долга 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0E1DEF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36664,0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AD558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18328,0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AD558C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3192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8A3192" w:rsidRPr="00EC20C7" w:rsidRDefault="008A3192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Контингент НДФЛ (по Закону </w:t>
            </w:r>
            <w:proofErr w:type="gramStart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8A3192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907143,0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8A3192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949779,0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8A3192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994419,0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E80A4B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НДФЛ </w:t>
            </w:r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по дополнительным нормативам отчислений (по Закону </w:t>
            </w:r>
            <w:proofErr w:type="gramStart"/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7D2C2F"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274864,3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274866,0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8A3192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274857,4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456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норматив (по Закону </w:t>
            </w:r>
            <w:proofErr w:type="gramStart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F13E8B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F13E8B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28,94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F13E8B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27,64</w:t>
            </w:r>
          </w:p>
        </w:tc>
      </w:tr>
      <w:tr w:rsidR="007D2C2F" w:rsidRPr="00EC20C7" w:rsidTr="000E1DEF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7D2C2F" w:rsidRPr="00EC20C7" w:rsidRDefault="007D2C2F" w:rsidP="0045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20C7">
              <w:rPr>
                <w:rFonts w:ascii="Times New Roman" w:hAnsi="Times New Roman" w:cs="Times New Roman"/>
              </w:rPr>
              <w:t>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7D2C2F" w:rsidRPr="00EC20C7" w:rsidRDefault="00EC20C7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524962,7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7D2C2F" w:rsidRPr="00EC20C7" w:rsidRDefault="00EC20C7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522060,0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2F" w:rsidRPr="00EC20C7" w:rsidRDefault="00EC20C7" w:rsidP="000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C7">
              <w:rPr>
                <w:rFonts w:ascii="Times New Roman" w:eastAsia="Times New Roman" w:hAnsi="Times New Roman" w:cs="Times New Roman"/>
                <w:lang w:eastAsia="ru-RU"/>
              </w:rPr>
              <w:t>549169,6</w:t>
            </w:r>
          </w:p>
        </w:tc>
      </w:tr>
    </w:tbl>
    <w:p w:rsidR="007D2C2F" w:rsidRPr="00EC20C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C2F" w:rsidRPr="00EC20C7" w:rsidRDefault="007D2C2F" w:rsidP="007D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C7"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D2C2F" w:rsidRPr="00EC20C7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видно из представленных данных, </w:t>
      </w:r>
      <w:proofErr w:type="gramStart"/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 установленное статьей 107 БК РФ соблюдено</w:t>
      </w:r>
      <w:proofErr w:type="gramEnd"/>
      <w:r w:rsidRPr="00EC2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C2F" w:rsidRPr="00EC20C7" w:rsidRDefault="007D2C2F" w:rsidP="007D2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C7" w:rsidRDefault="00EC20C7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0C7" w:rsidRDefault="00EC20C7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F" w:rsidRPr="00EC20C7" w:rsidRDefault="007D2C2F" w:rsidP="007D2C2F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выводы</w:t>
      </w:r>
    </w:p>
    <w:p w:rsidR="007D2C2F" w:rsidRPr="00C81B1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Форми</w:t>
      </w:r>
      <w:r w:rsidR="00EC20C7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проекта  бюджета на 2019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C20C7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20C7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осуществлено в соответствии с положениями Бюджетного кодекса Российской Федерации, Устава городского округа город Михайловка, Положения о контрольно-счетной комиссии городского округа город Михайловка и иными нормативными правовыми актами. </w:t>
      </w:r>
    </w:p>
    <w:p w:rsidR="007D2C2F" w:rsidRPr="00C81B1B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2019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спрогнозированы в объеме 1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530134,8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на исполнение передаваемых полномочий и </w:t>
      </w:r>
      <w:proofErr w:type="spellStart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от других бюджетов бюджетной системы РФ 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730307,8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2020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1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1498805,0 тыс. рублей, на 2021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 1</w:t>
      </w:r>
      <w:r w:rsidR="00C81B1B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532042,1</w:t>
      </w: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153C09" w:rsidRPr="00C81B1B" w:rsidRDefault="007D2C2F" w:rsidP="00153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53C09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утвержденные расходы  бюджета в проекте бюджета предусматриваются на 2020 год в сумме 19923,2 тыс. рублей, или 2,5 % общей суммы расходов, без учета межбюджетных трансфертов, имеющих целевое назначение, на 2021 год – 41201,4 тыс. рублей, или 5,0 %.</w:t>
      </w:r>
    </w:p>
    <w:p w:rsidR="00982046" w:rsidRPr="00C81B1B" w:rsidRDefault="007D2C2F" w:rsidP="0015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C20B9D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2046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год.</w:t>
      </w:r>
      <w:proofErr w:type="gramEnd"/>
      <w:r w:rsidR="00982046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82046" w:rsidRPr="00C81B1B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982046" w:rsidRPr="00C81B1B" w:rsidRDefault="007D2C2F" w:rsidP="00982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C20B9D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046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расходов </w:t>
      </w:r>
      <w:r w:rsidR="00982046" w:rsidRPr="00C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982046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определено в размере 1189290,6   тыс. рублей  </w:t>
      </w:r>
      <w:r w:rsidR="00982046" w:rsidRPr="00C81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больше  на 82412,7  тыс. руб. чем в проекте бюджета на 2018 год), в т. ч. на муниципальные программы – 208572,7 тыс. руб., на ведомственные целевые программы – 980717,9 тыс. руб.</w:t>
      </w:r>
      <w:r w:rsidR="00982046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82046" w:rsidRDefault="00982046" w:rsidP="0098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Объем ассигнований на муниципальные и ведомственные целевые программы предусмотрен в проекте решения в размере 77,7 % от общих расходов бюджета на 2019 год, в то время как удельный вес программных расходов в проекте  бюджета на  2018 года составлял 79,1%, на 2017 год – 75,6%. </w:t>
      </w:r>
    </w:p>
    <w:p w:rsidR="00A84F83" w:rsidRDefault="00A84F83" w:rsidP="00A84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bookmarkStart w:id="2" w:name="_GoBack"/>
      <w:bookmarkEnd w:id="2"/>
      <w:r w:rsidRPr="00AC324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Экспертиза представленных паспортов муниципальных программ и проекта бюджета на 2019 год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оказала, что потребность в финансировании,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году, по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выше на  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107286,7 тыс. руб. или 67,4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планируемого проектом решения 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средств.</w:t>
      </w:r>
    </w:p>
    <w:p w:rsidR="00A84F83" w:rsidRPr="00806AC9" w:rsidRDefault="00A84F83" w:rsidP="00A84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2019 году,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муниципальной программе </w:t>
      </w:r>
      <w:r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"Повышение безопасности дорожного движения на территории городского округа город Михайловка Волгоградской области на 2017-2019 годы"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42,6%, по муниципальной программе </w:t>
      </w:r>
      <w:r w:rsidRPr="00CA0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94,6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муниципальной программе </w:t>
      </w:r>
      <w:r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"Развитие и модернизация объектов коммунальной инфраструктуры городского</w:t>
      </w:r>
      <w:proofErr w:type="gramEnd"/>
      <w:r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 город Михайловка Волгоградской области на 2017-2019 годы"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превышает потребность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39,6%,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муниципальной программе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"Организация питания, отдыха и </w:t>
      </w:r>
      <w:proofErr w:type="gramStart"/>
      <w:r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 w:rsidRPr="006F1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городского округа город Михайловка Волгоградской области" на 2017-2019 годы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превышает потребность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19,4%. </w:t>
      </w:r>
    </w:p>
    <w:p w:rsidR="00A84F83" w:rsidRPr="00806AC9" w:rsidRDefault="00A84F83" w:rsidP="00A84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со статьей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A84F83" w:rsidRPr="00C81B1B" w:rsidRDefault="00A84F83" w:rsidP="0098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B9D" w:rsidRPr="00E34B0E" w:rsidRDefault="007D2C2F" w:rsidP="00C2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</w:t>
      </w:r>
      <w:r w:rsidR="00C20B9D" w:rsidRPr="00C8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</w:t>
      </w:r>
      <w:r w:rsidR="00C20B9D"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спорта, средства массовой информации в очередном периоде планируется на уровне 74,3%.</w:t>
      </w:r>
    </w:p>
    <w:p w:rsidR="007D2C2F" w:rsidRPr="00C20B9D" w:rsidRDefault="007D2C2F" w:rsidP="00C20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Коррупционных положений в проекте решения не выявлено.</w:t>
      </w:r>
    </w:p>
    <w:p w:rsidR="007D2C2F" w:rsidRPr="00C20B9D" w:rsidRDefault="007D2C2F" w:rsidP="007D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Контрольно-счетная комиссия городского округа город Михайловка предлагает  рассмотреть проект решения Думы «О бюджете городского</w:t>
      </w:r>
      <w:r w:rsidR="00C20B9D"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2019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20B9D"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20B9D"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7D2C2F" w:rsidRPr="00C20B9D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:rsidR="007D2C2F" w:rsidRPr="00AC24F7" w:rsidRDefault="007D2C2F" w:rsidP="007D2C2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24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</w:p>
    <w:p w:rsidR="007D2C2F" w:rsidRPr="00C20B9D" w:rsidRDefault="007D2C2F" w:rsidP="007D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КСК                                                                                            В.Г. Гудкова</w:t>
      </w:r>
    </w:p>
    <w:p w:rsidR="007D2C2F" w:rsidRPr="00C20B9D" w:rsidRDefault="007D2C2F" w:rsidP="007D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C2F" w:rsidRPr="00C20B9D" w:rsidRDefault="007D2C2F" w:rsidP="007D2C2F"/>
    <w:p w:rsidR="007D2C2F" w:rsidRPr="00C20B9D" w:rsidRDefault="007D2C2F" w:rsidP="007D2C2F">
      <w:pPr>
        <w:rPr>
          <w:rFonts w:ascii="Times New Roman" w:hAnsi="Times New Roman" w:cs="Times New Roman"/>
          <w:sz w:val="20"/>
          <w:szCs w:val="20"/>
        </w:rPr>
      </w:pPr>
      <w:r w:rsidRPr="00C20B9D">
        <w:rPr>
          <w:rFonts w:ascii="Times New Roman" w:hAnsi="Times New Roman" w:cs="Times New Roman"/>
          <w:sz w:val="20"/>
          <w:szCs w:val="20"/>
        </w:rPr>
        <w:t>Исп. Петрова Ю.П.</w:t>
      </w:r>
    </w:p>
    <w:p w:rsidR="00916981" w:rsidRPr="00C20B9D" w:rsidRDefault="00916981"/>
    <w:sectPr w:rsidR="00916981" w:rsidRPr="00C20B9D" w:rsidSect="0045646C">
      <w:pgSz w:w="11905" w:h="16835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F4"/>
    <w:rsid w:val="00011A4C"/>
    <w:rsid w:val="000200FA"/>
    <w:rsid w:val="00022C16"/>
    <w:rsid w:val="00023563"/>
    <w:rsid w:val="00030684"/>
    <w:rsid w:val="00034E93"/>
    <w:rsid w:val="00036CFF"/>
    <w:rsid w:val="000372D8"/>
    <w:rsid w:val="00040E3F"/>
    <w:rsid w:val="000464E7"/>
    <w:rsid w:val="00050BCC"/>
    <w:rsid w:val="0005293D"/>
    <w:rsid w:val="000538F1"/>
    <w:rsid w:val="00056E3A"/>
    <w:rsid w:val="0006119A"/>
    <w:rsid w:val="00063488"/>
    <w:rsid w:val="00063AA8"/>
    <w:rsid w:val="00066892"/>
    <w:rsid w:val="00087129"/>
    <w:rsid w:val="000917A7"/>
    <w:rsid w:val="0009196B"/>
    <w:rsid w:val="000954FB"/>
    <w:rsid w:val="000955E2"/>
    <w:rsid w:val="00095C05"/>
    <w:rsid w:val="000965B6"/>
    <w:rsid w:val="000A2A46"/>
    <w:rsid w:val="000A6668"/>
    <w:rsid w:val="000B3E57"/>
    <w:rsid w:val="000B6045"/>
    <w:rsid w:val="000B7E6D"/>
    <w:rsid w:val="000C0FFB"/>
    <w:rsid w:val="000C2C15"/>
    <w:rsid w:val="000C3981"/>
    <w:rsid w:val="000C71D1"/>
    <w:rsid w:val="000D33C1"/>
    <w:rsid w:val="000E1DEF"/>
    <w:rsid w:val="000E20B7"/>
    <w:rsid w:val="000E3E82"/>
    <w:rsid w:val="000E7660"/>
    <w:rsid w:val="000E78FB"/>
    <w:rsid w:val="000F0D84"/>
    <w:rsid w:val="00104AD4"/>
    <w:rsid w:val="00123249"/>
    <w:rsid w:val="00130D22"/>
    <w:rsid w:val="00144E47"/>
    <w:rsid w:val="00153C09"/>
    <w:rsid w:val="001641D8"/>
    <w:rsid w:val="001649D9"/>
    <w:rsid w:val="001703BF"/>
    <w:rsid w:val="001828DF"/>
    <w:rsid w:val="00182CE1"/>
    <w:rsid w:val="001A0516"/>
    <w:rsid w:val="001A4B92"/>
    <w:rsid w:val="001C1B69"/>
    <w:rsid w:val="001C263A"/>
    <w:rsid w:val="001C7CB0"/>
    <w:rsid w:val="001D0025"/>
    <w:rsid w:val="001D07CD"/>
    <w:rsid w:val="001D6132"/>
    <w:rsid w:val="001E401D"/>
    <w:rsid w:val="001F3488"/>
    <w:rsid w:val="001F4495"/>
    <w:rsid w:val="001F7073"/>
    <w:rsid w:val="00201E3F"/>
    <w:rsid w:val="002037A4"/>
    <w:rsid w:val="00204F1F"/>
    <w:rsid w:val="002126DD"/>
    <w:rsid w:val="002223BA"/>
    <w:rsid w:val="00226A1E"/>
    <w:rsid w:val="00233F44"/>
    <w:rsid w:val="00234254"/>
    <w:rsid w:val="00236CEC"/>
    <w:rsid w:val="0024776F"/>
    <w:rsid w:val="00252E42"/>
    <w:rsid w:val="00266F5B"/>
    <w:rsid w:val="0027206B"/>
    <w:rsid w:val="002729D0"/>
    <w:rsid w:val="002751A1"/>
    <w:rsid w:val="00275638"/>
    <w:rsid w:val="00281380"/>
    <w:rsid w:val="002B12D9"/>
    <w:rsid w:val="002B201D"/>
    <w:rsid w:val="002C21E7"/>
    <w:rsid w:val="002D3168"/>
    <w:rsid w:val="002D5F2E"/>
    <w:rsid w:val="002D7616"/>
    <w:rsid w:val="002E5F5D"/>
    <w:rsid w:val="002E6506"/>
    <w:rsid w:val="002F3FED"/>
    <w:rsid w:val="00303ABD"/>
    <w:rsid w:val="00321619"/>
    <w:rsid w:val="0032401E"/>
    <w:rsid w:val="003301E9"/>
    <w:rsid w:val="003303AF"/>
    <w:rsid w:val="003305C1"/>
    <w:rsid w:val="00337FC0"/>
    <w:rsid w:val="00342250"/>
    <w:rsid w:val="003435AF"/>
    <w:rsid w:val="00343EC6"/>
    <w:rsid w:val="0034459F"/>
    <w:rsid w:val="00344B99"/>
    <w:rsid w:val="00356772"/>
    <w:rsid w:val="003602C0"/>
    <w:rsid w:val="00370B57"/>
    <w:rsid w:val="0037476E"/>
    <w:rsid w:val="003759BA"/>
    <w:rsid w:val="0038004C"/>
    <w:rsid w:val="00380BFA"/>
    <w:rsid w:val="0039359F"/>
    <w:rsid w:val="003A3E89"/>
    <w:rsid w:val="003A75DC"/>
    <w:rsid w:val="003B0291"/>
    <w:rsid w:val="003C0A01"/>
    <w:rsid w:val="003D0D76"/>
    <w:rsid w:val="003D7516"/>
    <w:rsid w:val="003E1796"/>
    <w:rsid w:val="003E1FB7"/>
    <w:rsid w:val="003F468F"/>
    <w:rsid w:val="003F713D"/>
    <w:rsid w:val="0040424F"/>
    <w:rsid w:val="0040468D"/>
    <w:rsid w:val="00404A4A"/>
    <w:rsid w:val="004071CB"/>
    <w:rsid w:val="0041396C"/>
    <w:rsid w:val="0041727C"/>
    <w:rsid w:val="00424FA2"/>
    <w:rsid w:val="004335CC"/>
    <w:rsid w:val="00433CF9"/>
    <w:rsid w:val="004369AC"/>
    <w:rsid w:val="00436BE6"/>
    <w:rsid w:val="004378C8"/>
    <w:rsid w:val="00437F49"/>
    <w:rsid w:val="0044473D"/>
    <w:rsid w:val="00447A1E"/>
    <w:rsid w:val="00451509"/>
    <w:rsid w:val="004532A4"/>
    <w:rsid w:val="00453682"/>
    <w:rsid w:val="00455F82"/>
    <w:rsid w:val="00456270"/>
    <w:rsid w:val="0045646C"/>
    <w:rsid w:val="00463DAF"/>
    <w:rsid w:val="00466D7D"/>
    <w:rsid w:val="004677BE"/>
    <w:rsid w:val="004744A5"/>
    <w:rsid w:val="00481504"/>
    <w:rsid w:val="0048343E"/>
    <w:rsid w:val="004A1850"/>
    <w:rsid w:val="004B0A6D"/>
    <w:rsid w:val="004B0D52"/>
    <w:rsid w:val="004B5658"/>
    <w:rsid w:val="004C0B51"/>
    <w:rsid w:val="004C4F10"/>
    <w:rsid w:val="004D0F42"/>
    <w:rsid w:val="004D4EAE"/>
    <w:rsid w:val="004E4CEF"/>
    <w:rsid w:val="004F150E"/>
    <w:rsid w:val="00501770"/>
    <w:rsid w:val="005026EB"/>
    <w:rsid w:val="00507042"/>
    <w:rsid w:val="00513DF2"/>
    <w:rsid w:val="005214C2"/>
    <w:rsid w:val="00525479"/>
    <w:rsid w:val="00526993"/>
    <w:rsid w:val="005374EE"/>
    <w:rsid w:val="005467A5"/>
    <w:rsid w:val="00550500"/>
    <w:rsid w:val="005561A6"/>
    <w:rsid w:val="00562644"/>
    <w:rsid w:val="005647A9"/>
    <w:rsid w:val="005655F7"/>
    <w:rsid w:val="00566D52"/>
    <w:rsid w:val="005803CF"/>
    <w:rsid w:val="00581196"/>
    <w:rsid w:val="005837C3"/>
    <w:rsid w:val="00592B75"/>
    <w:rsid w:val="00596F30"/>
    <w:rsid w:val="005A1D14"/>
    <w:rsid w:val="005A6A8C"/>
    <w:rsid w:val="005B49E0"/>
    <w:rsid w:val="005C2208"/>
    <w:rsid w:val="005F0DC6"/>
    <w:rsid w:val="005F119F"/>
    <w:rsid w:val="005F4103"/>
    <w:rsid w:val="006032A2"/>
    <w:rsid w:val="00617174"/>
    <w:rsid w:val="006178E2"/>
    <w:rsid w:val="00621FF5"/>
    <w:rsid w:val="00625DCD"/>
    <w:rsid w:val="00627B48"/>
    <w:rsid w:val="006314FC"/>
    <w:rsid w:val="0063743F"/>
    <w:rsid w:val="006416BB"/>
    <w:rsid w:val="00660CCA"/>
    <w:rsid w:val="006723A7"/>
    <w:rsid w:val="00677C34"/>
    <w:rsid w:val="0068154E"/>
    <w:rsid w:val="0069698F"/>
    <w:rsid w:val="006979DD"/>
    <w:rsid w:val="006A0AE6"/>
    <w:rsid w:val="006A7AB7"/>
    <w:rsid w:val="006B2C88"/>
    <w:rsid w:val="006B61A8"/>
    <w:rsid w:val="006D1A6C"/>
    <w:rsid w:val="006D387B"/>
    <w:rsid w:val="006E0DF0"/>
    <w:rsid w:val="006E701D"/>
    <w:rsid w:val="006F107F"/>
    <w:rsid w:val="00703CDA"/>
    <w:rsid w:val="00716149"/>
    <w:rsid w:val="007236BE"/>
    <w:rsid w:val="00726129"/>
    <w:rsid w:val="007261E9"/>
    <w:rsid w:val="00742874"/>
    <w:rsid w:val="00751914"/>
    <w:rsid w:val="00752A11"/>
    <w:rsid w:val="007620A4"/>
    <w:rsid w:val="007662D8"/>
    <w:rsid w:val="00767F2A"/>
    <w:rsid w:val="00775ED7"/>
    <w:rsid w:val="00776051"/>
    <w:rsid w:val="00783FB3"/>
    <w:rsid w:val="0079445B"/>
    <w:rsid w:val="007A2753"/>
    <w:rsid w:val="007A4A91"/>
    <w:rsid w:val="007A5AEC"/>
    <w:rsid w:val="007A67A0"/>
    <w:rsid w:val="007B64E5"/>
    <w:rsid w:val="007C1DE3"/>
    <w:rsid w:val="007C44CF"/>
    <w:rsid w:val="007C492E"/>
    <w:rsid w:val="007C76BD"/>
    <w:rsid w:val="007D2AA7"/>
    <w:rsid w:val="007D2C2F"/>
    <w:rsid w:val="007D6FE9"/>
    <w:rsid w:val="007F4E0F"/>
    <w:rsid w:val="007F5472"/>
    <w:rsid w:val="0080495C"/>
    <w:rsid w:val="00806AC9"/>
    <w:rsid w:val="00832E23"/>
    <w:rsid w:val="00854051"/>
    <w:rsid w:val="00861FAA"/>
    <w:rsid w:val="00865813"/>
    <w:rsid w:val="008709BD"/>
    <w:rsid w:val="00872A43"/>
    <w:rsid w:val="00875EFF"/>
    <w:rsid w:val="00882C2E"/>
    <w:rsid w:val="008911E2"/>
    <w:rsid w:val="008927A6"/>
    <w:rsid w:val="00894F1C"/>
    <w:rsid w:val="00895F80"/>
    <w:rsid w:val="008A1CE5"/>
    <w:rsid w:val="008A3192"/>
    <w:rsid w:val="008A5A1E"/>
    <w:rsid w:val="008A686B"/>
    <w:rsid w:val="008B2296"/>
    <w:rsid w:val="008C29DB"/>
    <w:rsid w:val="008C35FD"/>
    <w:rsid w:val="008D3A2F"/>
    <w:rsid w:val="008D3D85"/>
    <w:rsid w:val="008D73EF"/>
    <w:rsid w:val="008E0BDB"/>
    <w:rsid w:val="008F5311"/>
    <w:rsid w:val="008F6946"/>
    <w:rsid w:val="008F7BDE"/>
    <w:rsid w:val="0090039B"/>
    <w:rsid w:val="009025C2"/>
    <w:rsid w:val="00902DCF"/>
    <w:rsid w:val="0091265C"/>
    <w:rsid w:val="00916981"/>
    <w:rsid w:val="00936C84"/>
    <w:rsid w:val="00942A70"/>
    <w:rsid w:val="009432AA"/>
    <w:rsid w:val="00943613"/>
    <w:rsid w:val="00943A3F"/>
    <w:rsid w:val="00952B40"/>
    <w:rsid w:val="009534AF"/>
    <w:rsid w:val="00954856"/>
    <w:rsid w:val="009632EB"/>
    <w:rsid w:val="00971F1A"/>
    <w:rsid w:val="00974951"/>
    <w:rsid w:val="009756B3"/>
    <w:rsid w:val="00982046"/>
    <w:rsid w:val="009902FB"/>
    <w:rsid w:val="009932E0"/>
    <w:rsid w:val="009975BE"/>
    <w:rsid w:val="00997C06"/>
    <w:rsid w:val="009A5539"/>
    <w:rsid w:val="009D1AB4"/>
    <w:rsid w:val="009D3037"/>
    <w:rsid w:val="009E0C85"/>
    <w:rsid w:val="009E52E6"/>
    <w:rsid w:val="009F1B59"/>
    <w:rsid w:val="009F46F5"/>
    <w:rsid w:val="009F52EE"/>
    <w:rsid w:val="00A04674"/>
    <w:rsid w:val="00A222B2"/>
    <w:rsid w:val="00A40481"/>
    <w:rsid w:val="00A407E4"/>
    <w:rsid w:val="00A477AF"/>
    <w:rsid w:val="00A50647"/>
    <w:rsid w:val="00A54ACE"/>
    <w:rsid w:val="00A560A9"/>
    <w:rsid w:val="00A60890"/>
    <w:rsid w:val="00A61A2F"/>
    <w:rsid w:val="00A62ECC"/>
    <w:rsid w:val="00A65E04"/>
    <w:rsid w:val="00A65F38"/>
    <w:rsid w:val="00A717D4"/>
    <w:rsid w:val="00A73439"/>
    <w:rsid w:val="00A741ED"/>
    <w:rsid w:val="00A81DA6"/>
    <w:rsid w:val="00A82149"/>
    <w:rsid w:val="00A8216F"/>
    <w:rsid w:val="00A84F83"/>
    <w:rsid w:val="00A86890"/>
    <w:rsid w:val="00AA0F5B"/>
    <w:rsid w:val="00AA6066"/>
    <w:rsid w:val="00AB2FCE"/>
    <w:rsid w:val="00AB4A0A"/>
    <w:rsid w:val="00AC24F7"/>
    <w:rsid w:val="00AC3240"/>
    <w:rsid w:val="00AD558C"/>
    <w:rsid w:val="00AE5959"/>
    <w:rsid w:val="00AE7A45"/>
    <w:rsid w:val="00AF2EE4"/>
    <w:rsid w:val="00B04543"/>
    <w:rsid w:val="00B13AB2"/>
    <w:rsid w:val="00B2054F"/>
    <w:rsid w:val="00B25C34"/>
    <w:rsid w:val="00B30954"/>
    <w:rsid w:val="00B34C14"/>
    <w:rsid w:val="00B40085"/>
    <w:rsid w:val="00B55E7E"/>
    <w:rsid w:val="00B60C4F"/>
    <w:rsid w:val="00B71114"/>
    <w:rsid w:val="00B719D8"/>
    <w:rsid w:val="00B7593C"/>
    <w:rsid w:val="00B83518"/>
    <w:rsid w:val="00B85A6C"/>
    <w:rsid w:val="00B90E6A"/>
    <w:rsid w:val="00BA2C4F"/>
    <w:rsid w:val="00BA3715"/>
    <w:rsid w:val="00BB0E7C"/>
    <w:rsid w:val="00BB5B12"/>
    <w:rsid w:val="00BB6601"/>
    <w:rsid w:val="00BC3178"/>
    <w:rsid w:val="00BC4600"/>
    <w:rsid w:val="00BC580F"/>
    <w:rsid w:val="00BD2F5B"/>
    <w:rsid w:val="00BE2495"/>
    <w:rsid w:val="00C16896"/>
    <w:rsid w:val="00C20B9D"/>
    <w:rsid w:val="00C3268F"/>
    <w:rsid w:val="00C363BD"/>
    <w:rsid w:val="00C3673D"/>
    <w:rsid w:val="00C41CA5"/>
    <w:rsid w:val="00C440B3"/>
    <w:rsid w:val="00C461B7"/>
    <w:rsid w:val="00C4620C"/>
    <w:rsid w:val="00C46FC1"/>
    <w:rsid w:val="00C66623"/>
    <w:rsid w:val="00C74242"/>
    <w:rsid w:val="00C74E00"/>
    <w:rsid w:val="00C81B1B"/>
    <w:rsid w:val="00C83990"/>
    <w:rsid w:val="00C90796"/>
    <w:rsid w:val="00C911F8"/>
    <w:rsid w:val="00CA0A19"/>
    <w:rsid w:val="00CA604A"/>
    <w:rsid w:val="00CC03F5"/>
    <w:rsid w:val="00CC0C97"/>
    <w:rsid w:val="00CD6BF7"/>
    <w:rsid w:val="00CE102C"/>
    <w:rsid w:val="00CE30DA"/>
    <w:rsid w:val="00CF206F"/>
    <w:rsid w:val="00D13ED1"/>
    <w:rsid w:val="00D32163"/>
    <w:rsid w:val="00D37FE5"/>
    <w:rsid w:val="00D43491"/>
    <w:rsid w:val="00D517FC"/>
    <w:rsid w:val="00D63AF4"/>
    <w:rsid w:val="00D6723E"/>
    <w:rsid w:val="00D704D1"/>
    <w:rsid w:val="00D85853"/>
    <w:rsid w:val="00D95308"/>
    <w:rsid w:val="00DA3D45"/>
    <w:rsid w:val="00DB5862"/>
    <w:rsid w:val="00DC0BE0"/>
    <w:rsid w:val="00DC3D0B"/>
    <w:rsid w:val="00DD4786"/>
    <w:rsid w:val="00DE15FB"/>
    <w:rsid w:val="00DE1D30"/>
    <w:rsid w:val="00DE458E"/>
    <w:rsid w:val="00DE48B3"/>
    <w:rsid w:val="00DE52D7"/>
    <w:rsid w:val="00DE6AE7"/>
    <w:rsid w:val="00DF2B02"/>
    <w:rsid w:val="00DF5C68"/>
    <w:rsid w:val="00E13178"/>
    <w:rsid w:val="00E143FF"/>
    <w:rsid w:val="00E20495"/>
    <w:rsid w:val="00E244F8"/>
    <w:rsid w:val="00E24E27"/>
    <w:rsid w:val="00E27A5B"/>
    <w:rsid w:val="00E338EB"/>
    <w:rsid w:val="00E43735"/>
    <w:rsid w:val="00E46F92"/>
    <w:rsid w:val="00E620D4"/>
    <w:rsid w:val="00E71053"/>
    <w:rsid w:val="00E768FA"/>
    <w:rsid w:val="00E80A4B"/>
    <w:rsid w:val="00E83546"/>
    <w:rsid w:val="00E853AE"/>
    <w:rsid w:val="00E86B75"/>
    <w:rsid w:val="00EA6692"/>
    <w:rsid w:val="00EA79F8"/>
    <w:rsid w:val="00EB68E7"/>
    <w:rsid w:val="00EC0666"/>
    <w:rsid w:val="00EC20C7"/>
    <w:rsid w:val="00EC3BD0"/>
    <w:rsid w:val="00EC451D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13E8B"/>
    <w:rsid w:val="00F2300C"/>
    <w:rsid w:val="00F33D01"/>
    <w:rsid w:val="00F41FDC"/>
    <w:rsid w:val="00F45164"/>
    <w:rsid w:val="00F50CB6"/>
    <w:rsid w:val="00F6284C"/>
    <w:rsid w:val="00F62B10"/>
    <w:rsid w:val="00F659EC"/>
    <w:rsid w:val="00F65C9E"/>
    <w:rsid w:val="00F65E51"/>
    <w:rsid w:val="00F67E91"/>
    <w:rsid w:val="00F719D3"/>
    <w:rsid w:val="00F81700"/>
    <w:rsid w:val="00FA060D"/>
    <w:rsid w:val="00FA34DD"/>
    <w:rsid w:val="00FA472D"/>
    <w:rsid w:val="00FA609F"/>
    <w:rsid w:val="00FA7540"/>
    <w:rsid w:val="00FA7C3D"/>
    <w:rsid w:val="00FB2E59"/>
    <w:rsid w:val="00FB35E4"/>
    <w:rsid w:val="00FB5BAA"/>
    <w:rsid w:val="00FC2D13"/>
    <w:rsid w:val="00FC76CF"/>
    <w:rsid w:val="00FD2517"/>
    <w:rsid w:val="00FD5C82"/>
    <w:rsid w:val="00FE04A7"/>
    <w:rsid w:val="00FE346A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D2C2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D2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2C2F"/>
  </w:style>
  <w:style w:type="table" w:customStyle="1" w:styleId="3">
    <w:name w:val="Сетка таблицы3"/>
    <w:basedOn w:val="a1"/>
    <w:next w:val="a5"/>
    <w:uiPriority w:val="59"/>
    <w:rsid w:val="00F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D2C2F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D2C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2C2F"/>
  </w:style>
  <w:style w:type="table" w:customStyle="1" w:styleId="3">
    <w:name w:val="Сетка таблицы3"/>
    <w:basedOn w:val="a1"/>
    <w:next w:val="a5"/>
    <w:uiPriority w:val="59"/>
    <w:rsid w:val="00F6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11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01101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2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4141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151515151515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161616161616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171717171717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181818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1919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</a:t>
            </a:r>
            <a:r>
              <a:rPr lang="ru-RU" sz="1000" baseline="0"/>
              <a:t> расходов бюджета </a:t>
            </a:r>
          </a:p>
          <a:p>
            <a:pPr>
              <a:defRPr sz="1000"/>
            </a:pPr>
            <a:r>
              <a:rPr lang="ru-RU" sz="1000" baseline="0"/>
              <a:t>в 2018-2020 годах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192882.5</c:v>
                </c:pt>
                <c:pt idx="1">
                  <c:v>213277.2</c:v>
                </c:pt>
                <c:pt idx="2">
                  <c:v>231582.3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12502.8</c:v>
                </c:pt>
                <c:pt idx="1">
                  <c:v>6167</c:v>
                </c:pt>
                <c:pt idx="2">
                  <c:v>6167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78616</c:v>
                </c:pt>
                <c:pt idx="1">
                  <c:v>57078</c:v>
                </c:pt>
                <c:pt idx="2">
                  <c:v>78671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103748.5</c:v>
                </c:pt>
                <c:pt idx="1">
                  <c:v>81619.7</c:v>
                </c:pt>
                <c:pt idx="2">
                  <c:v>77447.199999999997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896790.5</c:v>
                </c:pt>
                <c:pt idx="1">
                  <c:v>904928.7</c:v>
                </c:pt>
                <c:pt idx="2">
                  <c:v>905365.4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95265</c:v>
                </c:pt>
                <c:pt idx="1">
                  <c:v>90800</c:v>
                </c:pt>
                <c:pt idx="2">
                  <c:v>88800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99070.399999999994</c:v>
                </c:pt>
                <c:pt idx="1">
                  <c:v>101070.39999999999</c:v>
                </c:pt>
                <c:pt idx="2">
                  <c:v>100070.39999999999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42246.7</c:v>
                </c:pt>
                <c:pt idx="1">
                  <c:v>34800</c:v>
                </c:pt>
                <c:pt idx="2">
                  <c:v>35060.5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3363.9</c:v>
                </c:pt>
                <c:pt idx="1">
                  <c:v>3400</c:v>
                </c:pt>
                <c:pt idx="2">
                  <c:v>3400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Обслуживание государственного и муниципального долга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5648.5</c:v>
                </c:pt>
                <c:pt idx="1">
                  <c:v>5664</c:v>
                </c:pt>
                <c:pt idx="2">
                  <c:v>5478.3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20320"/>
        <c:axId val="124521856"/>
      </c:barChart>
      <c:catAx>
        <c:axId val="124520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521856"/>
        <c:crosses val="autoZero"/>
        <c:auto val="1"/>
        <c:lblAlgn val="ctr"/>
        <c:lblOffset val="100"/>
        <c:noMultiLvlLbl val="0"/>
      </c:catAx>
      <c:valAx>
        <c:axId val="124521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520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</a:t>
            </a:r>
          </a:p>
          <a:p>
            <a:pPr>
              <a:defRPr sz="1000"/>
            </a:pPr>
            <a:r>
              <a:rPr lang="ru-RU" sz="1000"/>
              <a:t> Физическая культура и 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Массовый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88180485512179E-17"/>
                  <c:y val="1.5814081194100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9767601492625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767601492625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47199</c:v>
                </c:pt>
                <c:pt idx="1">
                  <c:v>42246.7</c:v>
                </c:pt>
                <c:pt idx="2">
                  <c:v>34800</c:v>
                </c:pt>
                <c:pt idx="3">
                  <c:v>35060.5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20032"/>
        <c:axId val="154182400"/>
      </c:barChart>
      <c:catAx>
        <c:axId val="1526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182400"/>
        <c:crosses val="autoZero"/>
        <c:auto val="1"/>
        <c:lblAlgn val="ctr"/>
        <c:lblOffset val="100"/>
        <c:noMultiLvlLbl val="0"/>
      </c:catAx>
      <c:valAx>
        <c:axId val="1541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620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 Динамика расходов бюджета по разделу </a:t>
            </a:r>
          </a:p>
          <a:p>
            <a:pPr>
              <a:defRPr sz="1000"/>
            </a:pPr>
            <a:r>
              <a:rPr lang="ru-RU" sz="1000"/>
              <a:t> Средства массовой информации</a:t>
            </a:r>
          </a:p>
        </c:rich>
      </c:tx>
      <c:layout>
        <c:manualLayout>
          <c:xMode val="edge"/>
          <c:yMode val="edge"/>
          <c:x val="0.33685721693800408"/>
          <c:y val="1.978239366963402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1202 Периодическая печать и издательства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2364232345577792E-17"/>
                  <c:y val="1.5825914935707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3115,3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</c:v>
                </c:pt>
                <c:pt idx="1">
                  <c:v>3363.9</c:v>
                </c:pt>
                <c:pt idx="2">
                  <c:v>3400</c:v>
                </c:pt>
                <c:pt idx="3">
                  <c:v>3400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72512"/>
        <c:axId val="154274048"/>
      </c:barChart>
      <c:catAx>
        <c:axId val="15427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274048"/>
        <c:crosses val="autoZero"/>
        <c:auto val="1"/>
        <c:lblAlgn val="ctr"/>
        <c:lblOffset val="100"/>
        <c:noMultiLvlLbl val="0"/>
      </c:catAx>
      <c:valAx>
        <c:axId val="1542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72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9290417645163"/>
          <c:y val="0.20897372991580801"/>
          <c:w val="0.82831812600592503"/>
          <c:h val="0.78807530827516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</c:v>
                </c:pt>
                <c:pt idx="1">
                  <c:v>Жилищно-коммнальное хозяйство и национальная экономика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0.12609999999999999</c:v>
                </c:pt>
                <c:pt idx="1">
                  <c:v>0.1095</c:v>
                </c:pt>
                <c:pt idx="2">
                  <c:v>0.74299999999999999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"Общегосударственные вопросы", тыс. руб.</a:t>
            </a:r>
          </a:p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24959900845728"/>
          <c:y val="0.23300618672665918"/>
          <c:w val="0.86760225284339454"/>
          <c:h val="0.6755189976252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 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165233.20000000001</c:v>
                </c:pt>
                <c:pt idx="1">
                  <c:v>192882.5</c:v>
                </c:pt>
                <c:pt idx="2">
                  <c:v>213277.2</c:v>
                </c:pt>
                <c:pt idx="3">
                  <c:v>231582.3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56512"/>
        <c:axId val="117527680"/>
      </c:barChart>
      <c:catAx>
        <c:axId val="14545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27680"/>
        <c:crosses val="autoZero"/>
        <c:auto val="1"/>
        <c:lblAlgn val="ctr"/>
        <c:lblOffset val="100"/>
        <c:noMultiLvlLbl val="0"/>
      </c:catAx>
      <c:valAx>
        <c:axId val="11752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56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Lbls>
            <c:dLbl>
              <c:idx val="1"/>
              <c:layout>
                <c:manualLayout>
                  <c:x val="0.17222529380166912"/>
                  <c:y val="5.428881650380022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22938147706579E-2"/>
                  <c:y val="0.102305436576128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высшего должностного лица субъекта РФ и муниципальных образований</c:v>
                </c:pt>
                <c:pt idx="1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2">
                  <c:v>Функционирование Правительства РФ, высших органов государственной власти субъектов РФ, местных администраций</c:v>
                </c:pt>
                <c:pt idx="3">
                  <c:v>Обеспечение деятельности финансовых, налоговых и таможенных  органов и органов финансового (финансово-бюджетного) надзора </c:v>
                </c:pt>
                <c:pt idx="4">
                  <c:v>Другие общегосударственные вопросы</c:v>
                </c:pt>
                <c:pt idx="5">
                  <c:v>Резервные фонды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1713.2</c:v>
                </c:pt>
                <c:pt idx="1">
                  <c:v>1772.5</c:v>
                </c:pt>
                <c:pt idx="2">
                  <c:v>46005</c:v>
                </c:pt>
                <c:pt idx="3">
                  <c:v>9221.1</c:v>
                </c:pt>
                <c:pt idx="4">
                  <c:v>133670.70000000001</c:v>
                </c:pt>
                <c:pt idx="5">
                  <c:v>500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"Национальная безопасность и правоохранительная деятельность"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312031186742912E-3"/>
                  <c:y val="-8.0188789457697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6127.8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лбласти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6375</c:v>
                </c:pt>
                <c:pt idx="1">
                  <c:v>6167</c:v>
                </c:pt>
                <c:pt idx="2">
                  <c:v>6167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116800"/>
        <c:axId val="147118336"/>
      </c:barChart>
      <c:catAx>
        <c:axId val="14711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118336"/>
        <c:crosses val="autoZero"/>
        <c:auto val="1"/>
        <c:lblAlgn val="ctr"/>
        <c:lblOffset val="100"/>
        <c:noMultiLvlLbl val="0"/>
      </c:catAx>
      <c:valAx>
        <c:axId val="1471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1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Национальная экономика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3295838020247"/>
          <c:y val="0.12155230596175479"/>
          <c:w val="0.54933837815727582"/>
          <c:h val="0.624590988626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1087</c:v>
                </c:pt>
                <c:pt idx="1">
                  <c:v>1774</c:v>
                </c:pt>
                <c:pt idx="2">
                  <c:v>448</c:v>
                </c:pt>
                <c:pt idx="3">
                  <c:v>1221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хозяйство (дорожные фонды)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46080</c:v>
                </c:pt>
                <c:pt idx="1">
                  <c:v>72277</c:v>
                </c:pt>
                <c:pt idx="2">
                  <c:v>56630</c:v>
                </c:pt>
                <c:pt idx="3">
                  <c:v>77450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экономики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400</c:v>
                </c:pt>
                <c:pt idx="1">
                  <c:v>4565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232640"/>
        <c:axId val="147234176"/>
        <c:axId val="0"/>
      </c:bar3DChart>
      <c:catAx>
        <c:axId val="1472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234176"/>
        <c:crosses val="autoZero"/>
        <c:auto val="1"/>
        <c:lblAlgn val="ctr"/>
        <c:lblOffset val="100"/>
        <c:noMultiLvlLbl val="0"/>
      </c:catAx>
      <c:valAx>
        <c:axId val="1472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32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0500 Жилищно-коммунальное хозяйство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96560196560196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1165</c:v>
                </c:pt>
                <c:pt idx="1">
                  <c:v>943</c:v>
                </c:pt>
                <c:pt idx="2">
                  <c:v>645</c:v>
                </c:pt>
                <c:pt idx="3">
                  <c:v>645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6229299875453897E-3"/>
                  <c:y val="2.6183974376816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38154.5</c:v>
                </c:pt>
                <c:pt idx="1">
                  <c:v>24543.200000000001</c:v>
                </c:pt>
                <c:pt idx="2">
                  <c:v>1287</c:v>
                </c:pt>
                <c:pt idx="3">
                  <c:v>1114.5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343949813180849E-3"/>
                  <c:y val="-1.3258471907378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56446.2</c:v>
                </c:pt>
                <c:pt idx="1">
                  <c:v>68451.600000000006</c:v>
                </c:pt>
                <c:pt idx="2">
                  <c:v>70750</c:v>
                </c:pt>
                <c:pt idx="3">
                  <c:v>66750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917199501815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91719950181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68789962636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9827</c:v>
                </c:pt>
                <c:pt idx="1">
                  <c:v>9810.7000000000007</c:v>
                </c:pt>
                <c:pt idx="2">
                  <c:v>8937.7000000000007</c:v>
                </c:pt>
                <c:pt idx="3">
                  <c:v>8937.7000000000007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317888"/>
        <c:axId val="147319424"/>
      </c:barChart>
      <c:catAx>
        <c:axId val="14731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319424"/>
        <c:crosses val="autoZero"/>
        <c:auto val="1"/>
        <c:lblAlgn val="ctr"/>
        <c:lblOffset val="100"/>
        <c:noMultiLvlLbl val="0"/>
      </c:catAx>
      <c:valAx>
        <c:axId val="14731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1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4.76193600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2.3784839395075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4.3616110486189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97828.9</c:v>
                </c:pt>
                <c:pt idx="1">
                  <c:v>95265</c:v>
                </c:pt>
                <c:pt idx="2">
                  <c:v>90800</c:v>
                </c:pt>
                <c:pt idx="3">
                  <c:v>88800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598784"/>
        <c:axId val="152601728"/>
        <c:axId val="0"/>
      </c:bar3DChart>
      <c:catAx>
        <c:axId val="15259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601728"/>
        <c:crosses val="autoZero"/>
        <c:auto val="1"/>
        <c:lblAlgn val="ctr"/>
        <c:lblOffset val="100"/>
        <c:noMultiLvlLbl val="0"/>
      </c:catAx>
      <c:valAx>
        <c:axId val="1526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98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7548</c:v>
                </c:pt>
                <c:pt idx="1">
                  <c:v>5000</c:v>
                </c:pt>
                <c:pt idx="2">
                  <c:v>7000</c:v>
                </c:pt>
                <c:pt idx="3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31513.7</c:v>
                </c:pt>
                <c:pt idx="1">
                  <c:v>44525.9</c:v>
                </c:pt>
                <c:pt idx="2">
                  <c:v>44525.9</c:v>
                </c:pt>
                <c:pt idx="3">
                  <c:v>44525.9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662045060658619E-2"/>
                  <c:y val="2.3738872403560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40439052570769E-2"/>
                  <c:y val="1.97823936696340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22108198346956E-2"/>
                  <c:y val="2.3762548969212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18725.7</c:v>
                </c:pt>
                <c:pt idx="1">
                  <c:v>43180.4</c:v>
                </c:pt>
                <c:pt idx="2">
                  <c:v>43180.4</c:v>
                </c:pt>
                <c:pt idx="3">
                  <c:v>43180.4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социальной политики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6364.1</c:v>
                </c:pt>
                <c:pt idx="2">
                  <c:v>6364.1</c:v>
                </c:pt>
                <c:pt idx="3">
                  <c:v>6364.1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003136"/>
        <c:axId val="153004672"/>
      </c:barChart>
      <c:catAx>
        <c:axId val="15300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3004672"/>
        <c:crosses val="autoZero"/>
        <c:auto val="1"/>
        <c:lblAlgn val="ctr"/>
        <c:lblOffset val="100"/>
        <c:noMultiLvlLbl val="0"/>
      </c:catAx>
      <c:valAx>
        <c:axId val="15300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0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1814-4B7C-4379-B7F6-CF3473A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23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36</cp:revision>
  <cp:lastPrinted>2018-12-20T06:26:00Z</cp:lastPrinted>
  <dcterms:created xsi:type="dcterms:W3CDTF">2018-12-18T06:49:00Z</dcterms:created>
  <dcterms:modified xsi:type="dcterms:W3CDTF">2018-12-20T07:15:00Z</dcterms:modified>
</cp:coreProperties>
</file>